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w w:val="9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w w:val="90"/>
          <w:sz w:val="52"/>
          <w:szCs w:val="52"/>
        </w:rPr>
        <w:t>中国证券监督管理委员会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w w:val="90"/>
          <w:sz w:val="52"/>
          <w:szCs w:val="52"/>
          <w:lang w:eastAsia="zh-CN"/>
        </w:rPr>
        <w:t>河南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w w:val="90"/>
          <w:sz w:val="52"/>
          <w:szCs w:val="52"/>
        </w:rPr>
        <w:t>监管局</w:t>
      </w:r>
    </w:p>
    <w:p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  <w:t>行政处罚决定书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bookmarkStart w:id="4" w:name="_GoBack"/>
      <w:bookmarkEnd w:id="4"/>
      <w:bookmarkStart w:id="0" w:name="WH"/>
      <w:bookmarkEnd w:id="0"/>
      <w:bookmarkStart w:id="1" w:name="内容"/>
      <w:bookmarkEnd w:id="1"/>
      <w:bookmarkStart w:id="2" w:name="quanwen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当事人：</w:t>
      </w:r>
      <w:r>
        <w:rPr>
          <w:rFonts w:hint="eastAsia" w:ascii="Times New Roman" w:hAnsi="Times New Roman" w:eastAsia="仿宋" w:cs="Times New Roman"/>
          <w:color w:val="auto"/>
          <w:sz w:val="32"/>
          <w:szCs w:val="30"/>
          <w:highlight w:val="none"/>
          <w:lang w:val="en-US" w:eastAsia="zh-CN"/>
        </w:rPr>
        <w:t>赵威，男，1965年5月出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生，博爱新开源医疗科技集团股份有限公司</w:t>
      </w:r>
      <w:r>
        <w:rPr>
          <w:rFonts w:hint="eastAsia" w:ascii="Times New Roman" w:hAnsi="Times New Roman" w:eastAsia="仿宋" w:cs="Times New Roman"/>
          <w:b w:val="0"/>
          <w:color w:val="000000"/>
          <w:kern w:val="0"/>
          <w:sz w:val="32"/>
          <w:szCs w:val="32"/>
          <w:lang w:val="en-US" w:eastAsia="zh-CN" w:bidi="ar-SA"/>
        </w:rPr>
        <w:t>（以下简称新开源）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董事，住址：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辽宁省抚顺市新抚区。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0"/>
          <w:highlight w:val="none"/>
          <w:lang w:val="en-US" w:eastAsia="zh-CN" w:bidi="ar-SA"/>
        </w:rPr>
        <w:t>依据《中华人民共和国证券法》（以下简称《证券法》）有关规定，我局对赵威</w:t>
      </w:r>
      <w:r>
        <w:rPr>
          <w:rFonts w:hint="default" w:ascii="Times New Roman" w:hAnsi="Times New Roman" w:eastAsia="仿宋" w:cs="Times New Roman"/>
          <w:b w:val="0"/>
          <w:color w:val="000000"/>
          <w:kern w:val="0"/>
          <w:sz w:val="32"/>
          <w:szCs w:val="32"/>
          <w:lang w:val="en-US" w:eastAsia="zh-CN" w:bidi="ar-SA"/>
        </w:rPr>
        <w:t>短线交易</w:t>
      </w:r>
      <w:r>
        <w:rPr>
          <w:rFonts w:hint="eastAsia" w:ascii="Times New Roman" w:hAnsi="Times New Roman" w:eastAsia="仿宋" w:cs="Times New Roman"/>
          <w:b w:val="0"/>
          <w:color w:val="000000"/>
          <w:kern w:val="0"/>
          <w:sz w:val="32"/>
          <w:szCs w:val="32"/>
          <w:lang w:val="en-US" w:eastAsia="zh-CN" w:bidi="ar-SA"/>
        </w:rPr>
        <w:t>新开源股票案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0"/>
          <w:highlight w:val="none"/>
          <w:lang w:val="en-US" w:eastAsia="zh-CN" w:bidi="ar-SA"/>
        </w:rPr>
        <w:t>进行了立案调查，依法向当事人告知了作出行政处罚的事实、理由、依据及当事人依法享有的权利，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0"/>
          <w:highlight w:val="none"/>
          <w:lang w:val="en-US" w:eastAsia="zh-CN" w:bidi="ar-SA"/>
        </w:rPr>
        <w:t>当事人未提出陈述、申辩意见，也未要求听证。本案现已调查、办理终结。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经查明，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赵威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存在以下违法事实：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1"/>
          <w:szCs w:val="31"/>
          <w:lang w:val="en-US" w:eastAsia="zh-CN" w:bidi="ar"/>
        </w:rPr>
        <w:t>赵威在担任新开源董事期间，赵威之子赵某于2024年7月9日至12月19日累计卖出“新开源”股票1</w:t>
      </w:r>
      <w:r>
        <w:rPr>
          <w:rFonts w:hint="default" w:ascii="Times New Roman" w:hAnsi="Times New Roman" w:eastAsia="仿宋" w:cs="仿宋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Times New Roman" w:hAnsi="Times New Roman" w:eastAsia="仿宋" w:cs="仿宋"/>
          <w:color w:val="000000"/>
          <w:kern w:val="0"/>
          <w:sz w:val="31"/>
          <w:szCs w:val="31"/>
          <w:lang w:val="en-US" w:eastAsia="zh-CN" w:bidi="ar"/>
        </w:rPr>
        <w:t>285</w:t>
      </w:r>
      <w:r>
        <w:rPr>
          <w:rFonts w:hint="default" w:ascii="Times New Roman" w:hAnsi="Times New Roman" w:eastAsia="仿宋" w:cs="仿宋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Times New Roman" w:hAnsi="Times New Roman" w:eastAsia="仿宋" w:cs="仿宋"/>
          <w:color w:val="000000"/>
          <w:kern w:val="0"/>
          <w:sz w:val="31"/>
          <w:szCs w:val="31"/>
          <w:lang w:val="en-US" w:eastAsia="zh-CN" w:bidi="ar"/>
        </w:rPr>
        <w:t>500股，累计卖出金额22</w:t>
      </w:r>
      <w:r>
        <w:rPr>
          <w:rFonts w:hint="default" w:ascii="Times New Roman" w:hAnsi="Times New Roman" w:eastAsia="仿宋" w:cs="仿宋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Times New Roman" w:hAnsi="Times New Roman" w:eastAsia="仿宋" w:cs="仿宋"/>
          <w:color w:val="000000"/>
          <w:kern w:val="0"/>
          <w:sz w:val="31"/>
          <w:szCs w:val="31"/>
          <w:lang w:val="en-US" w:eastAsia="zh-CN" w:bidi="ar"/>
        </w:rPr>
        <w:t>330</w:t>
      </w:r>
      <w:r>
        <w:rPr>
          <w:rFonts w:hint="default" w:ascii="Times New Roman" w:hAnsi="Times New Roman" w:eastAsia="仿宋" w:cs="仿宋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Times New Roman" w:hAnsi="Times New Roman" w:eastAsia="仿宋" w:cs="仿宋"/>
          <w:color w:val="000000"/>
          <w:kern w:val="0"/>
          <w:sz w:val="31"/>
          <w:szCs w:val="31"/>
          <w:lang w:val="en-US" w:eastAsia="zh-CN" w:bidi="ar"/>
        </w:rPr>
        <w:t>480元；累计买入“新开源”股票238</w:t>
      </w:r>
      <w:r>
        <w:rPr>
          <w:rFonts w:hint="default" w:ascii="Times New Roman" w:hAnsi="Times New Roman" w:eastAsia="仿宋" w:cs="仿宋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Times New Roman" w:hAnsi="Times New Roman" w:eastAsia="仿宋" w:cs="仿宋"/>
          <w:color w:val="000000"/>
          <w:kern w:val="0"/>
          <w:sz w:val="31"/>
          <w:szCs w:val="31"/>
          <w:lang w:val="en-US" w:eastAsia="zh-CN" w:bidi="ar"/>
        </w:rPr>
        <w:t>500股，累计买入金额3</w:t>
      </w:r>
      <w:r>
        <w:rPr>
          <w:rFonts w:hint="default" w:ascii="Times New Roman" w:hAnsi="Times New Roman" w:eastAsia="仿宋" w:cs="仿宋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Times New Roman" w:hAnsi="Times New Roman" w:eastAsia="仿宋" w:cs="仿宋"/>
          <w:color w:val="000000"/>
          <w:kern w:val="0"/>
          <w:sz w:val="31"/>
          <w:szCs w:val="31"/>
          <w:lang w:val="en-US" w:eastAsia="zh-CN" w:bidi="ar"/>
        </w:rPr>
        <w:t>867</w:t>
      </w:r>
      <w:r>
        <w:rPr>
          <w:rFonts w:hint="default" w:ascii="Times New Roman" w:hAnsi="Times New Roman" w:eastAsia="仿宋" w:cs="仿宋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Times New Roman" w:hAnsi="Times New Roman" w:eastAsia="仿宋" w:cs="仿宋"/>
          <w:color w:val="000000"/>
          <w:kern w:val="0"/>
          <w:sz w:val="31"/>
          <w:szCs w:val="31"/>
          <w:lang w:val="en-US" w:eastAsia="zh-CN" w:bidi="ar"/>
        </w:rPr>
        <w:t>640元。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上述违法事实，有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新开源相关情况说明、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相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-SA"/>
        </w:rPr>
        <w:t>关人员询问笔录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-SA"/>
        </w:rPr>
        <w:t>证券账户资料、证券交易流水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-SA"/>
        </w:rPr>
        <w:t>、银行账户交易流水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-SA"/>
        </w:rPr>
        <w:t>等证据证明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-SA"/>
        </w:rPr>
        <w:t>，足以认定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  <w:t>上述行为</w:t>
      </w:r>
      <w:r>
        <w:rPr>
          <w:rFonts w:hint="eastAsia" w:ascii="Times New Roman" w:hAnsi="Times New Roman" w:eastAsia="仿宋" w:cs="仿宋"/>
          <w:color w:val="000000"/>
          <w:kern w:val="0"/>
          <w:sz w:val="31"/>
          <w:szCs w:val="31"/>
          <w:lang w:val="en-US" w:eastAsia="zh-CN" w:bidi="ar"/>
        </w:rPr>
        <w:t>违反了《证券法》第四十四条第一款、第二款的规定，构成《证券法》第一百八十九条所述的短线交易行为。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  <w:t>根据当事人违法行为的事实、性质、情节与社会危害程度，</w:t>
      </w:r>
      <w:r>
        <w:rPr>
          <w:rFonts w:hint="eastAsia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  <w:t>依</w:t>
      </w:r>
      <w:r>
        <w:rPr>
          <w:rFonts w:hint="eastAsia" w:ascii="Times New Roman" w:hAnsi="Times New Roman" w:eastAsia="仿宋" w:cs="仿宋"/>
          <w:color w:val="000000"/>
          <w:kern w:val="0"/>
          <w:sz w:val="31"/>
          <w:szCs w:val="31"/>
          <w:lang w:val="en-US" w:eastAsia="zh-CN" w:bidi="ar"/>
        </w:rPr>
        <w:t>据《证券法》第一百八十九条，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我局决定：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1"/>
          <w:szCs w:val="31"/>
          <w:lang w:val="en-US" w:eastAsia="zh-CN" w:bidi="ar"/>
        </w:rPr>
        <w:t>对赵威给予警告，并处以30万元罚款。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bidi="ar-SA"/>
        </w:rPr>
        <w:t>上述当事人应自收到本处罚决定书之日起15日内，将罚款直接汇交国库。具体缴款方式见本处罚决定书所附说明。同时，须将注有当事人名称的付款凭证复印件送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-SA"/>
        </w:rPr>
        <w:t>河南证监局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bidi="ar-SA"/>
        </w:rPr>
        <w:t>备案。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当事人如果对本处罚决定不服，可在收到本处罚决定书之日起60日内向中国证券监督管理委员会申请行政复议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行政复议申请可以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通过邮政快递寄送至中国证券监督管理委员会法治司）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，也可以在收到本处罚决定书之日起6个月内直接向有管辖权的人民法院提起行政诉讼。复议和诉讼期间，上述决定不停止执行。 </w:t>
      </w:r>
    </w:p>
    <w:p>
      <w:pPr>
        <w:numPr>
          <w:ilvl w:val="0"/>
          <w:numId w:val="0"/>
        </w:numP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 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</w:t>
      </w:r>
    </w:p>
    <w:p>
      <w:pP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河南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证监局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年6月20日  </w:t>
      </w:r>
      <w:bookmarkEnd w:id="2"/>
      <w:bookmarkStart w:id="3" w:name="结束"/>
      <w:bookmarkEnd w:id="3"/>
    </w:p>
    <w:sectPr>
      <w:footerReference r:id="rId3" w:type="default"/>
      <w:pgSz w:w="11906" w:h="16838"/>
      <w:pgMar w:top="1440" w:right="1797" w:bottom="1100" w:left="179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E582C1"/>
    <w:rsid w:val="1FFD2FFF"/>
    <w:rsid w:val="37FB382E"/>
    <w:rsid w:val="77FF99EF"/>
    <w:rsid w:val="7AFEF56A"/>
    <w:rsid w:val="7EDA4EAF"/>
    <w:rsid w:val="BC162B5B"/>
    <w:rsid w:val="DDFDF8AC"/>
    <w:rsid w:val="DFDD25CE"/>
    <w:rsid w:val="EEE582C1"/>
    <w:rsid w:val="F3F7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2025-06-22T16:58:00Z</dcterms:created>
  <dc:creator>苏芳东</dc:creator>
  <cp:lastModifiedBy>朱以倚</cp:lastModifiedBy>
  <dcterms:modified xsi:type="dcterms:W3CDTF">2025-07-18T16:14:56Z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C7C603E94351ADC796CB7868CA0A8A5D</vt:lpwstr>
  </property>
</Properties>
</file>