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44"/>
          <w:szCs w:val="44"/>
        </w:rPr>
      </w:pPr>
    </w:p>
    <w:p>
      <w:pPr>
        <w:snapToGrid w:val="0"/>
        <w:spacing w:before="156" w:beforeLines="50" w:line="300" w:lineRule="auto"/>
        <w:jc w:val="center"/>
        <w:rPr>
          <w:rFonts w:ascii="黑体" w:hAnsi="Times New Roman" w:eastAsia="黑体" w:cs="Times New Roman"/>
          <w:color w:val="000000"/>
          <w:spacing w:val="12"/>
          <w:sz w:val="32"/>
          <w:szCs w:val="20"/>
        </w:rPr>
      </w:pPr>
      <w:r>
        <w:rPr>
          <w:rFonts w:hint="eastAsia" w:ascii="仿宋_GB2312" w:hAnsi="Times New Roman" w:eastAsia="仿宋_GB2312" w:cs="Times New Roman"/>
          <w:color w:val="000000"/>
          <w:spacing w:val="12"/>
          <w:sz w:val="28"/>
          <w:szCs w:val="20"/>
        </w:rPr>
        <w:t>〔20</w:t>
      </w:r>
      <w:r>
        <w:rPr>
          <w:rFonts w:hint="eastAsia" w:ascii="仿宋_GB2312" w:hAnsi="Times New Roman" w:eastAsia="仿宋_GB2312" w:cs="Times New Roman"/>
          <w:color w:val="000000"/>
          <w:spacing w:val="12"/>
          <w:sz w:val="28"/>
          <w:szCs w:val="20"/>
          <w:lang w:val="en-US" w:eastAsia="zh-CN"/>
        </w:rPr>
        <w:t>2</w:t>
      </w:r>
      <w:r>
        <w:rPr>
          <w:rFonts w:hint="default" w:ascii="仿宋_GB2312" w:hAnsi="Times New Roman" w:eastAsia="仿宋_GB2312" w:cs="Times New Roman"/>
          <w:color w:val="000000"/>
          <w:spacing w:val="12"/>
          <w:sz w:val="28"/>
          <w:szCs w:val="20"/>
          <w:lang w:val="en-US" w:eastAsia="zh-CN"/>
        </w:rPr>
        <w:t>5</w:t>
      </w:r>
      <w:r>
        <w:rPr>
          <w:rFonts w:hint="eastAsia" w:ascii="仿宋_GB2312" w:hAnsi="Times New Roman" w:eastAsia="仿宋_GB2312" w:cs="Times New Roman"/>
          <w:color w:val="000000"/>
          <w:spacing w:val="12"/>
          <w:sz w:val="28"/>
          <w:szCs w:val="20"/>
        </w:rPr>
        <w:t>〕</w:t>
      </w:r>
      <w:r>
        <w:rPr>
          <w:rFonts w:hint="default" w:ascii="仿宋_GB2312" w:hAnsi="Times New Roman" w:eastAsia="仿宋_GB2312" w:cs="Times New Roman"/>
          <w:color w:val="000000"/>
          <w:spacing w:val="12"/>
          <w:sz w:val="28"/>
          <w:szCs w:val="20"/>
          <w:lang w:val="en-US"/>
        </w:rPr>
        <w:t>7</w:t>
      </w:r>
      <w:r>
        <w:rPr>
          <w:rFonts w:hint="default" w:ascii="仿宋_GB2312" w:eastAsia="仿宋_GB2312" w:cs="Times New Roman"/>
          <w:color w:val="000000"/>
          <w:spacing w:val="12"/>
          <w:sz w:val="28"/>
          <w:szCs w:val="20"/>
          <w:lang w:val="en-US"/>
        </w:rPr>
        <w:t>9</w:t>
      </w:r>
      <w:r>
        <w:rPr>
          <w:rFonts w:hint="eastAsia" w:ascii="仿宋_GB2312" w:hAnsi="Times New Roman" w:eastAsia="仿宋_GB2312" w:cs="Times New Roman"/>
          <w:color w:val="000000"/>
          <w:spacing w:val="12"/>
          <w:sz w:val="28"/>
          <w:szCs w:val="20"/>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zC+1ktYAAAAIAQAADwAAAAAAAAABACAAAAA4AAAAZHJzL2Rvd25yZXYueG1s&#10;UEsBAhQAFAAAAAgAh07iQCiR+N7kAQAAqgMAAA4AAAAAAAAAAQAgAAAAOwEAAGRycy9lMm9Eb2Mu&#10;eG1sUEsFBgAAAAAGAAYAWQEAAJEFAAAAAA==&#10;">
                <v:fill on="f" focussize="0,0"/>
                <v:stroke weight="1pt" color="#FF0000" joinstyle="round"/>
                <v:imagedata o:title=""/>
                <o:lock v:ext="edit" aspectratio="f"/>
              </v:line>
            </w:pict>
          </mc:Fallback>
        </mc:AlternateContent>
      </w:r>
    </w:p>
    <w:p>
      <w:pPr>
        <w:jc w:val="center"/>
        <w:rPr>
          <w:rFonts w:hint="eastAsia"/>
          <w:sz w:val="28"/>
          <w:szCs w:val="28"/>
        </w:rPr>
      </w:pPr>
    </w:p>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宋体"/>
          <w:spacing w:val="0"/>
          <w:kern w:val="0"/>
          <w:sz w:val="44"/>
          <w:szCs w:val="44"/>
          <w:lang w:val="en-US" w:eastAsia="zh-CN"/>
        </w:rPr>
      </w:pPr>
      <w:bookmarkStart w:id="0" w:name="quanwen"/>
      <w:r>
        <w:rPr>
          <w:rFonts w:hint="eastAsia" w:ascii="方正小标宋简体" w:hAnsi="方正小标宋简体" w:eastAsia="方正小标宋简体" w:cs="宋体"/>
          <w:spacing w:val="0"/>
          <w:kern w:val="0"/>
          <w:sz w:val="44"/>
          <w:szCs w:val="44"/>
          <w:lang w:eastAsia="zh-CN"/>
        </w:rPr>
        <w:t>关于对粤开证券股份有限公司、</w:t>
      </w:r>
      <w:r>
        <w:rPr>
          <w:rFonts w:hint="eastAsia" w:ascii="方正小标宋简体" w:hAnsi="方正小标宋简体" w:eastAsia="方正小标宋简体" w:cs="宋体"/>
          <w:spacing w:val="0"/>
          <w:kern w:val="0"/>
          <w:sz w:val="44"/>
          <w:szCs w:val="44"/>
          <w:lang w:val="en-US" w:eastAsia="zh-CN"/>
        </w:rPr>
        <w:t>杨灿熙、</w:t>
      </w:r>
    </w:p>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宋体"/>
          <w:spacing w:val="0"/>
          <w:kern w:val="0"/>
          <w:sz w:val="44"/>
          <w:szCs w:val="44"/>
          <w:lang w:eastAsia="zh-CN"/>
        </w:rPr>
      </w:pPr>
      <w:r>
        <w:rPr>
          <w:rFonts w:hint="eastAsia" w:ascii="方正小标宋简体" w:hAnsi="方正小标宋简体" w:eastAsia="方正小标宋简体" w:cs="宋体"/>
          <w:spacing w:val="0"/>
          <w:kern w:val="0"/>
          <w:sz w:val="44"/>
          <w:szCs w:val="44"/>
          <w:lang w:val="en-US" w:eastAsia="zh-CN"/>
        </w:rPr>
        <w:t>张钦洽</w:t>
      </w:r>
      <w:r>
        <w:rPr>
          <w:rFonts w:hint="eastAsia" w:ascii="方正小标宋简体" w:hAnsi="方正小标宋简体" w:eastAsia="方正小标宋简体" w:cs="宋体"/>
          <w:spacing w:val="0"/>
          <w:kern w:val="0"/>
          <w:sz w:val="44"/>
          <w:szCs w:val="44"/>
          <w:lang w:eastAsia="zh-CN"/>
        </w:rPr>
        <w:t>采取出具警示函措施的决定</w:t>
      </w:r>
    </w:p>
    <w:p>
      <w:pPr>
        <w:pStyle w:val="2"/>
        <w:snapToGrid w:val="0"/>
        <w:spacing w:beforeLines="0" w:afterLines="0"/>
        <w:rPr>
          <w:rFonts w:hint="eastAsia" w:ascii="方正小标宋简体" w:hAnsi="方正小标宋简体" w:eastAsia="方正小标宋简体" w:cs="方正小标宋简体"/>
          <w:sz w:val="32"/>
          <w:szCs w:val="32"/>
        </w:rPr>
      </w:pPr>
    </w:p>
    <w:p>
      <w:pPr>
        <w:overflowPunct w:val="0"/>
        <w:adjustRightInd w:val="0"/>
        <w:snapToGrid w:val="0"/>
        <w:spacing w:beforeLines="0" w:afterLines="0" w:line="336" w:lineRule="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highlight w:val="none"/>
          <w:lang w:val="en-US" w:eastAsia="zh-CN"/>
        </w:rPr>
        <w:t>粤开证券股份有限公司、杨灿熙、张钦洽：</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color w:val="auto"/>
          <w:spacing w:val="0"/>
          <w:kern w:val="0"/>
          <w:sz w:val="32"/>
          <w:lang w:val="en" w:eastAsia="zh-CN"/>
        </w:rPr>
      </w:pPr>
      <w:r>
        <w:rPr>
          <w:rFonts w:hint="eastAsia" w:ascii="仿宋_GB2312" w:hAnsi="仿宋_GB2312" w:eastAsia="仿宋_GB2312" w:cs="Times New Roman"/>
          <w:color w:val="auto"/>
          <w:spacing w:val="0"/>
          <w:kern w:val="0"/>
          <w:sz w:val="32"/>
          <w:lang w:val="en-US" w:eastAsia="zh-CN"/>
        </w:rPr>
        <w:t>经查，你公司作为2021年度广东太安堂药业股份有限公司重大资产出售项目的财务顾问，在接受委托出具财务顾问专业意见过程中对标的公司收入与利润的异常情况关注不足，对其他证券服务机构出具的财务报表审计意见和评估定价依据在引用前未履行必要的审慎核查程序。</w:t>
      </w:r>
      <w:r>
        <w:rPr>
          <w:rFonts w:hint="eastAsia" w:ascii="仿宋_GB2312" w:hAnsi="仿宋_GB2312" w:eastAsia="仿宋_GB2312" w:cs="仿宋_GB2312"/>
          <w:b w:val="0"/>
          <w:bCs w:val="0"/>
          <w:color w:val="auto"/>
          <w:kern w:val="0"/>
          <w:sz w:val="32"/>
          <w:szCs w:val="32"/>
          <w:highlight w:val="none"/>
          <w:lang w:val="en-US" w:eastAsia="zh-CN"/>
        </w:rPr>
        <w:t>上述执业行为</w:t>
      </w:r>
      <w:r>
        <w:rPr>
          <w:rFonts w:hint="eastAsia" w:ascii="仿宋_GB2312" w:hAnsi="仿宋_GB2312" w:eastAsia="仿宋_GB2312" w:cs="Times New Roman"/>
          <w:color w:val="auto"/>
          <w:spacing w:val="0"/>
          <w:kern w:val="0"/>
          <w:sz w:val="32"/>
          <w:lang w:val="en-US" w:eastAsia="zh-CN"/>
        </w:rPr>
        <w:t>不符合《上市公司并购重组财务顾问业务管理办法》（证监会令第54号）第三条、第二十一条第一款、第二十二条第一款和《上市公司重大资产重组管理办法》（证监会令第166号）第六条第一款、第十七条第四款的规定。杨灿熙、张钦洽作为项目主办人对上述违规行为负有主要责任。</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color w:val="auto"/>
          <w:spacing w:val="0"/>
          <w:kern w:val="0"/>
          <w:sz w:val="32"/>
          <w:lang w:val="en-US" w:eastAsia="zh-CN"/>
        </w:rPr>
      </w:pPr>
      <w:r>
        <w:rPr>
          <w:rFonts w:hint="eastAsia" w:ascii="仿宋_GB2312" w:hAnsi="仿宋_GB2312" w:eastAsia="仿宋_GB2312" w:cs="Times New Roman"/>
          <w:color w:val="auto"/>
          <w:spacing w:val="0"/>
          <w:kern w:val="0"/>
          <w:sz w:val="32"/>
        </w:rPr>
        <w:t>根据</w:t>
      </w:r>
      <w:r>
        <w:rPr>
          <w:rFonts w:hint="eastAsia" w:ascii="仿宋_GB2312" w:hAnsi="仿宋_GB2312" w:eastAsia="仿宋_GB2312" w:cs="Times New Roman"/>
          <w:color w:val="auto"/>
          <w:spacing w:val="0"/>
          <w:kern w:val="0"/>
          <w:sz w:val="32"/>
          <w:lang w:val="en-US" w:eastAsia="zh-CN"/>
        </w:rPr>
        <w:t>《上市公司并购重组财务顾问办法》第三十九条和《</w:t>
      </w:r>
      <w:r>
        <w:rPr>
          <w:rFonts w:hint="default" w:ascii="仿宋_GB2312" w:hAnsi="仿宋_GB2312" w:eastAsia="仿宋_GB2312" w:cs="Times New Roman"/>
          <w:color w:val="auto"/>
          <w:spacing w:val="0"/>
          <w:kern w:val="0"/>
          <w:sz w:val="32"/>
          <w:lang w:val="en-US" w:eastAsia="zh-CN"/>
        </w:rPr>
        <w:t>上市公司重大资产重组管理办法</w:t>
      </w:r>
      <w:r>
        <w:rPr>
          <w:rFonts w:hint="eastAsia" w:ascii="仿宋_GB2312" w:hAnsi="仿宋_GB2312" w:eastAsia="仿宋_GB2312" w:cs="Times New Roman"/>
          <w:color w:val="auto"/>
          <w:spacing w:val="0"/>
          <w:kern w:val="0"/>
          <w:sz w:val="32"/>
          <w:lang w:val="en-US" w:eastAsia="zh-CN"/>
        </w:rPr>
        <w:t>》第五十八条第一款的规定</w:t>
      </w:r>
      <w:r>
        <w:rPr>
          <w:rFonts w:hint="eastAsia" w:ascii="仿宋_GB2312" w:hAnsi="仿宋_GB2312" w:eastAsia="仿宋_GB2312" w:cs="Times New Roman"/>
          <w:color w:val="auto"/>
          <w:spacing w:val="0"/>
          <w:kern w:val="0"/>
          <w:sz w:val="32"/>
        </w:rPr>
        <w:t>，我局</w:t>
      </w:r>
      <w:r>
        <w:rPr>
          <w:rFonts w:hint="eastAsia" w:ascii="仿宋_GB2312" w:hAnsi="仿宋_GB2312" w:eastAsia="仿宋_GB2312" w:cs="Times New Roman"/>
          <w:color w:val="auto"/>
          <w:spacing w:val="0"/>
          <w:kern w:val="0"/>
          <w:sz w:val="32"/>
          <w:lang w:eastAsia="zh-CN"/>
        </w:rPr>
        <w:t>决定</w:t>
      </w:r>
      <w:r>
        <w:rPr>
          <w:rFonts w:hint="eastAsia" w:ascii="仿宋_GB2312" w:hAnsi="仿宋_GB2312" w:eastAsia="仿宋_GB2312" w:cs="Times New Roman"/>
          <w:color w:val="auto"/>
          <w:spacing w:val="0"/>
          <w:kern w:val="0"/>
          <w:sz w:val="32"/>
        </w:rPr>
        <w:t>对</w:t>
      </w:r>
      <w:r>
        <w:rPr>
          <w:rFonts w:hint="eastAsia" w:ascii="仿宋_GB2312" w:hAnsi="仿宋_GB2312" w:eastAsia="仿宋_GB2312" w:cs="Times New Roman"/>
          <w:color w:val="auto"/>
          <w:spacing w:val="0"/>
          <w:kern w:val="0"/>
          <w:sz w:val="32"/>
          <w:lang w:eastAsia="zh-CN"/>
        </w:rPr>
        <w:t>你们采取出具警示函的行政监管措施。</w:t>
      </w:r>
    </w:p>
    <w:p>
      <w:pPr>
        <w:keepNext w:val="0"/>
        <w:keepLines w:val="0"/>
        <w:pageBreakBefore w:val="0"/>
        <w:widowControl w:val="0"/>
        <w:kinsoku/>
        <w:wordWrap/>
        <w:overflowPunct/>
        <w:topLinePunct w:val="0"/>
        <w:autoSpaceDE/>
        <w:autoSpaceDN/>
        <w:bidi w:val="0"/>
        <w:adjustRightInd/>
        <w:snapToGrid w:val="0"/>
        <w:spacing w:before="0" w:beforeLines="0" w:after="0" w:afterLines="0" w:line="336" w:lineRule="auto"/>
        <w:ind w:left="0" w:leftChars="0" w:right="0" w:rightChars="0" w:firstLine="616" w:firstLineChars="200"/>
        <w:jc w:val="both"/>
        <w:textAlignment w:val="auto"/>
        <w:outlineLvl w:val="9"/>
        <w:rPr>
          <w:rFonts w:hint="eastAsia" w:ascii="仿宋_GB2312" w:hAnsi="仿宋_GB2312" w:eastAsia="仿宋_GB2312"/>
          <w:b w:val="0"/>
          <w:color w:val="auto"/>
          <w:spacing w:val="-6"/>
          <w:kern w:val="21"/>
          <w:sz w:val="32"/>
          <w:szCs w:val="20"/>
          <w:lang w:eastAsia="zh-CN"/>
        </w:rPr>
      </w:pPr>
      <w:r>
        <w:rPr>
          <w:rFonts w:hint="eastAsia" w:ascii="仿宋_GB2312" w:hAnsi="仿宋_GB2312" w:eastAsia="仿宋_GB2312"/>
          <w:b w:val="0"/>
          <w:color w:val="auto"/>
          <w:spacing w:val="-6"/>
          <w:kern w:val="21"/>
          <w:sz w:val="32"/>
          <w:szCs w:val="20"/>
          <w:lang w:eastAsia="zh-CN"/>
        </w:rPr>
        <w:t>如果对本监管措施不服，可以在收到本决定书之日起60日内向中国证券监督管理委员会提出行政复议申请，也可以在收到本决定书之日起6个月内向有管辖权的人民法院提起诉讼。复议与诉讼期间，上述监管措施不停止执行。</w:t>
      </w:r>
    </w:p>
    <w:p>
      <w:pPr>
        <w:widowControl w:val="0"/>
        <w:overflowPunct w:val="0"/>
        <w:snapToGrid w:val="0"/>
        <w:spacing w:line="360" w:lineRule="auto"/>
        <w:jc w:val="both"/>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eastAsia="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eastAsia="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szCs w:val="20"/>
        </w:rPr>
      </w:pPr>
      <w:r>
        <w:rPr>
          <w:rFonts w:hint="eastAsia" w:ascii="仿宋_GB2312" w:hAnsi="Times New Roman" w:eastAsia="仿宋_GB2312" w:cs="Times New Roman"/>
          <w:color w:val="000000"/>
          <w:sz w:val="32"/>
          <w:szCs w:val="20"/>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rPr>
          <w:rFonts w:ascii="Times New Roman" w:hAnsi="Times New Roman" w:eastAsia="宋体" w:cs="Times New Roman"/>
          <w:szCs w:val="20"/>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hAnsi="Times New Roman" w:eastAsia="仿宋_GB2312" w:cs="Times New Roman"/>
          <w:color w:val="000000"/>
          <w:spacing w:val="10"/>
          <w:sz w:val="32"/>
          <w:szCs w:val="32"/>
          <w:lang w:val="en-US" w:eastAsia="zh-CN"/>
        </w:rPr>
        <w:t>7</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28</w:t>
      </w:r>
      <w:r>
        <w:rPr>
          <w:rFonts w:hint="eastAsia" w:ascii="仿宋_GB2312" w:hAnsi="Times New Roman" w:eastAsia="仿宋_GB2312" w:cs="Times New Roman"/>
          <w:color w:val="000000"/>
          <w:spacing w:val="10"/>
          <w:sz w:val="32"/>
          <w:szCs w:val="32"/>
        </w:rPr>
        <w:t>日</w:t>
      </w: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hAnsi="Times New Roman" w:eastAsia="黑体" w:cs="Times New Roman"/>
          <w:spacing w:val="8"/>
          <w:sz w:val="32"/>
          <w:szCs w:val="20"/>
        </w:rPr>
      </w:pPr>
    </w:p>
    <w:p>
      <w:pPr>
        <w:snapToGrid w:val="0"/>
        <w:spacing w:line="240" w:lineRule="auto"/>
        <w:ind w:right="28"/>
        <w:jc w:val="left"/>
        <w:rPr>
          <w:rFonts w:hint="eastAsia" w:ascii="黑体" w:eastAsia="黑体"/>
          <w:spacing w:val="8"/>
          <w:sz w:val="32"/>
          <w:szCs w:val="32"/>
        </w:rPr>
      </w:pPr>
    </w:p>
    <w:p>
      <w:pPr>
        <w:pBdr>
          <w:top w:val="single" w:color="auto" w:sz="8" w:space="6"/>
        </w:pBdr>
        <w:adjustRightInd w:val="0"/>
        <w:snapToGrid w:val="0"/>
        <w:spacing w:after="109" w:afterLines="35" w:line="240" w:lineRule="auto"/>
        <w:ind w:firstLine="302" w:firstLineChars="100"/>
        <w:rPr>
          <w:rFonts w:hint="eastAsia" w:ascii="仿宋_GB2312" w:eastAsia="仿宋_GB2312"/>
          <w:spacing w:val="11"/>
          <w:sz w:val="28"/>
        </w:rPr>
      </w:pPr>
      <w:r>
        <w:rPr>
          <w:rFonts w:hint="eastAsia" w:ascii="仿宋_GB2312" w:eastAsia="仿宋_GB2312"/>
          <w:spacing w:val="11"/>
          <w:sz w:val="28"/>
        </w:rPr>
        <w:t>抄送：证监会公众司、机构司、稽查局、法治司；</w:t>
      </w:r>
    </w:p>
    <w:p>
      <w:pPr>
        <w:pBdr>
          <w:top w:val="single" w:color="auto" w:sz="8" w:space="6"/>
        </w:pBdr>
        <w:adjustRightInd w:val="0"/>
        <w:snapToGrid w:val="0"/>
        <w:spacing w:after="109" w:afterLines="35" w:line="240" w:lineRule="auto"/>
        <w:ind w:firstLine="1208" w:firstLineChars="400"/>
        <w:rPr>
          <w:rFonts w:ascii="长城仿宋" w:eastAsia="长城仿宋"/>
          <w:spacing w:val="11"/>
          <w:sz w:val="28"/>
        </w:rPr>
      </w:pPr>
      <w:r>
        <w:rPr>
          <w:rFonts w:hint="eastAsia" w:ascii="仿宋_GB2312" w:eastAsia="仿宋_GB2312"/>
          <w:spacing w:val="11"/>
          <w:sz w:val="28"/>
        </w:rPr>
        <w:t>上海证券交易所，深圳证券交易所。</w:t>
      </w:r>
    </w:p>
    <w:p>
      <w:pPr>
        <w:pBdr>
          <w:top w:val="single" w:color="auto" w:sz="4" w:space="6"/>
        </w:pBdr>
        <w:adjustRightInd w:val="0"/>
        <w:snapToGrid w:val="0"/>
        <w:spacing w:after="109" w:afterLines="35" w:line="240" w:lineRule="auto"/>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eastAsia" w:ascii="仿宋_GB2312" w:eastAsia="仿宋_GB2312"/>
          <w:spacing w:val="8"/>
          <w:sz w:val="28"/>
          <w:lang w:val="en-US" w:eastAsia="zh-CN"/>
        </w:rPr>
        <w:t xml:space="preserve">  </w:t>
      </w:r>
      <w:r>
        <w:rPr>
          <w:rFonts w:hint="eastAsia" w:ascii="仿宋_GB2312" w:eastAsia="仿宋_GB2312"/>
          <w:spacing w:val="8"/>
          <w:sz w:val="28"/>
        </w:rPr>
        <w:t xml:space="preserve">   </w:t>
      </w:r>
      <w:r>
        <w:rPr>
          <w:rFonts w:hint="eastAsia" w:ascii="仿宋_GB2312" w:eastAsia="仿宋_GB2312"/>
          <w:spacing w:val="8"/>
          <w:sz w:val="28"/>
          <w:lang w:val="en-US" w:eastAsia="zh-CN"/>
        </w:rPr>
        <w:t xml:space="preserve"> </w:t>
      </w:r>
      <w:r>
        <w:rPr>
          <w:rFonts w:hint="default" w:ascii="仿宋_GB2312" w:eastAsia="仿宋_GB2312"/>
          <w:spacing w:val="8"/>
          <w:sz w:val="28"/>
          <w:lang w:val="en-US"/>
        </w:rPr>
        <w:t xml:space="preserve"> </w:t>
      </w:r>
      <w:r>
        <w:rPr>
          <w:rFonts w:hint="eastAsia" w:ascii="仿宋_GB2312" w:eastAsia="仿宋_GB2312"/>
          <w:spacing w:val="8"/>
          <w:sz w:val="28"/>
          <w:lang w:val="en-US" w:eastAsia="zh-CN"/>
        </w:rPr>
        <w:t xml:space="preserve">    </w:t>
      </w:r>
      <w:r>
        <w:rPr>
          <w:rFonts w:hint="eastAsia" w:ascii="仿宋_GB2312" w:eastAsia="仿宋_GB2312"/>
          <w:spacing w:val="8"/>
          <w:sz w:val="28"/>
          <w:lang w:eastAsia="zh-CN"/>
        </w:rPr>
        <w:t>20</w:t>
      </w:r>
      <w:r>
        <w:rPr>
          <w:rFonts w:hint="eastAsia" w:ascii="仿宋_GB2312" w:eastAsia="仿宋_GB2312"/>
          <w:spacing w:val="8"/>
          <w:sz w:val="28"/>
          <w:lang w:val="en-US" w:eastAsia="zh-CN"/>
        </w:rPr>
        <w:t>25</w:t>
      </w:r>
      <w:r>
        <w:rPr>
          <w:rFonts w:hint="eastAsia" w:ascii="仿宋_GB2312" w:eastAsia="仿宋_GB2312"/>
          <w:spacing w:val="8"/>
          <w:sz w:val="28"/>
        </w:rPr>
        <w:t>年</w:t>
      </w:r>
      <w:r>
        <w:rPr>
          <w:rFonts w:hint="default" w:ascii="仿宋_GB2312" w:eastAsia="仿宋_GB2312"/>
          <w:spacing w:val="8"/>
          <w:sz w:val="28"/>
          <w:lang w:val="en-US" w:eastAsia="zh-CN"/>
        </w:rPr>
        <w:t>7</w:t>
      </w:r>
      <w:r>
        <w:rPr>
          <w:rFonts w:hint="eastAsia" w:ascii="仿宋_GB2312" w:eastAsia="仿宋_GB2312"/>
          <w:spacing w:val="8"/>
          <w:sz w:val="28"/>
        </w:rPr>
        <w:t>月</w:t>
      </w:r>
      <w:r>
        <w:rPr>
          <w:rFonts w:hint="default" w:ascii="仿宋_GB2312" w:eastAsia="仿宋_GB2312"/>
          <w:spacing w:val="8"/>
          <w:sz w:val="28"/>
          <w:lang w:val="en-US" w:eastAsia="zh-CN"/>
        </w:rPr>
        <w:t>28</w:t>
      </w:r>
      <w:r>
        <w:rPr>
          <w:rFonts w:hint="eastAsia" w:ascii="仿宋_GB2312" w:eastAsia="仿宋_GB2312"/>
          <w:spacing w:val="8"/>
          <w:sz w:val="28"/>
        </w:rPr>
        <w:t>日印发</w:t>
      </w:r>
    </w:p>
    <w:bookmarkEnd w:id="0"/>
    <w:p>
      <w:pPr>
        <w:pBdr>
          <w:top w:val="single" w:color="auto" w:sz="8" w:space="7"/>
        </w:pBdr>
        <w:overflowPunct w:val="0"/>
        <w:bidi w:val="0"/>
        <w:adjustRightInd w:val="0"/>
        <w:snapToGrid w:val="0"/>
        <w:spacing w:beforeLines="0" w:after="0" w:afterLines="0" w:line="240" w:lineRule="auto"/>
        <w:ind w:firstLine="0"/>
        <w:jc w:val="left"/>
        <w:rPr>
          <w:rFonts w:hint="default" w:ascii="仿宋_GB2312" w:eastAsia="仿宋_GB2312"/>
          <w:spacing w:val="8"/>
          <w:sz w:val="2"/>
          <w:szCs w:val="2"/>
          <w:lang w:val="en-US" w:eastAsia="zh-CN"/>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2010609000101010101"/>
    <w:charset w:val="00"/>
    <w:family w:val="auto"/>
    <w:pitch w:val="default"/>
    <w:sig w:usb0="00000000" w:usb1="00000000" w:usb2="00000010" w:usb3="00000000" w:csb0="00040000" w:csb1="00000000"/>
  </w:font>
  <w:font w:name="方正仿宋_GBK">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F087"/>
    <w:rsid w:val="37EF641F"/>
    <w:rsid w:val="3FFFF087"/>
    <w:rsid w:val="5F7FB66B"/>
    <w:rsid w:val="76EB40B0"/>
    <w:rsid w:val="7BF91BC9"/>
    <w:rsid w:val="7EF59387"/>
    <w:rsid w:val="7F65706A"/>
    <w:rsid w:val="9BCF8045"/>
    <w:rsid w:val="BEF6B910"/>
    <w:rsid w:val="EAEF303E"/>
    <w:rsid w:val="F67F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basedOn w:val="1"/>
    <w:qFormat/>
    <w:uiPriority w:val="0"/>
    <w:pPr>
      <w:widowControl/>
    </w:pPr>
    <w:rPr>
      <w:rFonts w:hint="eastAsia"/>
    </w:r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2025-07-17T09:47:00Z</dcterms:created>
  <dc:creator>陈思奇</dc:creator>
  <cp:lastModifiedBy>陈思奇</cp:lastModifiedBy>
  <dcterms:modified xsi:type="dcterms:W3CDTF">2025-09-08T13:57:11Z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691F31DB5FBE0CC88AB57868D2F611CB</vt:lpwstr>
  </property>
</Properties>
</file>