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bookmarkStart w:id="1" w:name="_GoBack"/>
      <w:bookmarkEnd w:id="1"/>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18"/>
          <w:szCs w:val="18"/>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0"/>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5</w:t>
      </w:r>
      <w:r>
        <w:rPr>
          <w:rFonts w:hint="eastAsia" w:ascii="仿宋_GB2312" w:eastAsia="仿宋_GB2312"/>
          <w:spacing w:val="12"/>
          <w:sz w:val="28"/>
        </w:rPr>
        <w:t>〕</w:t>
      </w:r>
      <w:r>
        <w:rPr>
          <w:rFonts w:hint="default" w:ascii="仿宋_GB2312" w:eastAsia="仿宋_GB2312"/>
          <w:spacing w:val="12"/>
          <w:sz w:val="28"/>
          <w:lang w:val="en-US"/>
        </w:rPr>
        <w:t>12</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92" w:firstLineChars="200"/>
        <w:textAlignment w:val="auto"/>
        <w:outlineLvl w:val="9"/>
        <w:rPr>
          <w:rFonts w:hint="eastAsia" w:ascii="仿宋_GB2312" w:eastAsia="仿宋_GB2312"/>
          <w:spacing w:val="8"/>
          <w:sz w:val="18"/>
          <w:szCs w:val="1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92" w:firstLineChars="200"/>
        <w:textAlignment w:val="auto"/>
        <w:outlineLvl w:val="9"/>
        <w:rPr>
          <w:rFonts w:hint="eastAsia" w:ascii="仿宋_GB2312" w:eastAsia="仿宋_GB2312"/>
          <w:spacing w:val="8"/>
          <w:sz w:val="18"/>
          <w:szCs w:val="18"/>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当事人：广州市香雪制药股份有限公司（以下简称香雪制药），住所：广东省广州市黄埔区广州高新技术产业开发区科学城金峰园路2号。</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王某辉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，男，196</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X</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年10月出生，香雪制药实际控制人，时任董事长、总经理，住址：广东省广州市越秀区。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卢某，男，197</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X</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年5月出生，香雪制药时任财务总监，住址：广东省广州市越秀区。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陈某华，男，196</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X</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年10月出生，香雪制药时任财务总监，住址：广东省广州市荔湾区。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黄某，男，195</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X</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年3月出生，香雪制药时任董事、董事会秘书、副总经理，住址：广东省广州市黄埔区。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徐某，男，198</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X</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年11月出生，香雪制药时任董事会秘书，住址：广东省广州市黄埔区。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依据2005年修订的《中华人民共和国证券法》（以下简称2005年《证券法》）和2019年修订的《中华人民共和国证券法》（以下简称《证券法》）的有关规定，我局对香雪制药、王某辉信息披露违法违规行为进行了立案调查，并依法向当事人告知了作出行政处罚的事实、理由、依据及当事人依法享有的权利。应当事人香雪制药、王某辉、卢某、陈某华、黄某、徐某的要求，我局于2025年4月22日举行听证会，听取当事人及其代理人的陈述和申辩。本案现已调查、办理终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经查明，香雪制药、王某辉存在以下违法事实：</w:t>
      </w:r>
    </w:p>
    <w:p>
      <w:pPr>
        <w:keepNext w:val="0"/>
        <w:keepLines w:val="0"/>
        <w:pageBreakBefore w:val="0"/>
        <w:widowControl w:val="0"/>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一、香雪制药2019年年度报告存在虚假记载</w:t>
      </w:r>
    </w:p>
    <w:p>
      <w:pPr>
        <w:keepNext w:val="0"/>
        <w:keepLines w:val="0"/>
        <w:pageBreakBefore w:val="0"/>
        <w:widowControl w:val="0"/>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0" w:firstLineChars="0"/>
        <w:jc w:val="both"/>
        <w:textAlignment w:val="auto"/>
        <w:outlineLvl w:val="9"/>
        <w:rPr>
          <w:rFonts w:hint="eastAsia" w:ascii="仿宋_GB2312" w:hAnsi="仿宋_GB2312" w:eastAsia="仿宋_GB2312" w:cs="Times New Roman"/>
          <w:kern w:val="0"/>
          <w:sz w:val="32"/>
          <w:szCs w:val="32"/>
          <w:highlight w:val="red"/>
          <w:lang w:val="en-US" w:eastAsia="zh-CN"/>
        </w:rPr>
      </w:pPr>
      <w:r>
        <w:rPr>
          <w:rFonts w:hint="eastAsia" w:ascii="仿宋_GB2312" w:hAnsi="仿宋_GB2312" w:eastAsia="仿宋_GB2312" w:cs="Times New Roman"/>
          <w:kern w:val="0"/>
          <w:sz w:val="32"/>
          <w:szCs w:val="32"/>
          <w:lang w:val="en-US" w:eastAsia="zh-CN"/>
        </w:rPr>
        <w:t xml:space="preserve">  </w:t>
      </w:r>
      <w:r>
        <w:rPr>
          <w:rFonts w:hint="default" w:ascii="仿宋_GB2312" w:hAnsi="仿宋_GB2312" w:eastAsia="仿宋_GB2312" w:cs="Times New Roman"/>
          <w:kern w:val="0"/>
          <w:sz w:val="32"/>
          <w:szCs w:val="32"/>
          <w:lang w:val="en-US" w:eastAsia="zh-CN"/>
        </w:rPr>
        <w:t xml:space="preserve"> </w:t>
      </w:r>
      <w:r>
        <w:rPr>
          <w:rFonts w:hint="eastAsia" w:ascii="仿宋_GB2312" w:hAnsi="仿宋_GB2312" w:eastAsia="仿宋_GB2312" w:cs="Times New Roman"/>
          <w:kern w:val="0"/>
          <w:sz w:val="32"/>
          <w:szCs w:val="32"/>
          <w:lang w:val="en-US" w:eastAsia="zh-CN"/>
        </w:rPr>
        <w:t xml:space="preserve"> 2019年12月，香雪制药位于广州生物岛上5栋别墅被相关政府部门拆除，香雪制药未按规定确认拆除别墅产生的在建工程损失，导致2019年年度报告虚增利润5,383.25万元，占当期披露利润总额的45.98%，2019年年度报告存在虚假记载。2024年4月30日，香雪制药发布公告，调整相关在建工程成本。</w:t>
      </w:r>
    </w:p>
    <w:p>
      <w:pPr>
        <w:keepNext w:val="0"/>
        <w:keepLines w:val="0"/>
        <w:pageBreakBefore w:val="0"/>
        <w:widowControl w:val="0"/>
        <w:numPr>
          <w:ilvl w:val="-1"/>
          <w:numId w:val="0"/>
        </w:numPr>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二、香雪制药未按规定披露关联方非经营性资金占用，2016年至2020年年度报告存在重大遗漏</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rPr>
        <w:t>2016年至2020年，香雪制药以购买信托理财、中药材合作经营等名义支出款项，并最终划转至控股股东广州市昆仑投资有限公司（以下简称昆仑投资）等关联方，用于关联方偿还借款、收购股权等。2018年至2020年，香雪制药代关联方广州香岚健康产业有限公司（曾用名广州协和精准医疗有限公司，以下简称协和精准）支付香岚官洲酒店工程款。上述事项均构成关联方非经营性资金占用，</w:t>
      </w:r>
      <w:r>
        <w:rPr>
          <w:rFonts w:hint="eastAsia" w:ascii="仿宋_GB2312" w:hAnsi="仿宋_GB2312" w:eastAsia="仿宋_GB2312" w:cs="Times New Roman"/>
          <w:kern w:val="0"/>
          <w:sz w:val="32"/>
          <w:szCs w:val="32"/>
          <w:lang w:val="en-US" w:eastAsia="zh-CN" w:bidi="ar-SA"/>
        </w:rPr>
        <w:t>2016年至2020年，上述非经营性资金占用实际发生额分别为58,500万元、84,485万元、140,838.25万元、65,696.99万元、135,693.7万元，香雪制药未按规定及时披露，也未在2016年至2019年年度报告中予以披露，仅在2020年年度报告中披露非经营性资金占用金额126,232.19万元。2016年至2020年未披露的资金占用发生额分别占香雪制药当期披露净资产的15.88%、21.75%、35.10%、15.98%、2.22%。通过上述关联交易，同期非经营性资金占用余额分别为28,000万元、68,600万元、155,638.25万元、70,385.24万元、95,878.94万元，香雪制药未在2016年至2019年年度报告中予以披露，仅在2020年年度报告披露占用余额62,635.87万元，该披露余额与实际余额的差额为33,243.07万元。2016年至2020年未披露资金占用余额分别占香雪制药当期披露净资产的7.60%、17.66%、38.79%、17.12%、7.82%。</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我局在日常监管持续督促香雪制药对上述违规情况进行整改。2021年4月29日，香雪制药发布公告，昆仑投资通过以资抵债方式清偿2020年资金占用余额62,635.87万元。2024年4月30日，香雪制药发布公告，</w:t>
      </w:r>
      <w:r>
        <w:rPr>
          <w:rFonts w:hint="eastAsia" w:ascii="仿宋_GB2312" w:hAnsi="仿宋_GB2312" w:eastAsia="仿宋_GB2312"/>
          <w:kern w:val="0"/>
          <w:sz w:val="32"/>
          <w:szCs w:val="32"/>
        </w:rPr>
        <w:t>披露</w:t>
      </w:r>
      <w:r>
        <w:rPr>
          <w:rFonts w:hint="eastAsia" w:ascii="仿宋_GB2312" w:hAnsi="仿宋_GB2312" w:eastAsia="仿宋_GB2312"/>
          <w:kern w:val="0"/>
          <w:sz w:val="32"/>
          <w:szCs w:val="32"/>
          <w:lang w:eastAsia="zh-CN"/>
        </w:rPr>
        <w:t>仍</w:t>
      </w:r>
      <w:r>
        <w:rPr>
          <w:rFonts w:hint="eastAsia" w:ascii="仿宋_GB2312" w:hAnsi="仿宋_GB2312" w:eastAsia="仿宋_GB2312"/>
          <w:kern w:val="0"/>
          <w:sz w:val="32"/>
          <w:szCs w:val="32"/>
          <w:lang w:val="en" w:eastAsia="zh-CN"/>
        </w:rPr>
        <w:t>存在的资金占用情况及偿还方式</w:t>
      </w:r>
      <w:r>
        <w:rPr>
          <w:rFonts w:hint="eastAsia" w:ascii="仿宋_GB2312" w:hAnsi="仿宋_GB2312" w:eastAsia="仿宋_GB2312"/>
          <w:kern w:val="0"/>
          <w:sz w:val="32"/>
          <w:szCs w:val="32"/>
        </w:rPr>
        <w:t>。</w:t>
      </w:r>
      <w:r>
        <w:rPr>
          <w:rFonts w:hint="eastAsia" w:ascii="仿宋_GB2312" w:hAnsi="仿宋_GB2312" w:eastAsia="仿宋_GB2312" w:cs="Times New Roman"/>
          <w:kern w:val="0"/>
          <w:sz w:val="32"/>
          <w:szCs w:val="32"/>
          <w:lang w:val="en-US" w:eastAsia="zh-CN"/>
        </w:rPr>
        <w:t>2025年4月3日，香雪制药发布公告，控股股东以资抵债化解了资金占用风险。</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根据2005年《证券法》第六十七条第一款和第二款第十二项，《证券法》第八十条第一款和第二款第三项，《公开发行证券的公司信息披露内容与格式准则第2号—年度报告的内容与格式》（证监会公告〔2016〕31号）第三十一条、第四十条，《公开发行证券的公司信息披露内容与格式准则第2号—年度报告的内容与格式》（证监会公告〔2017〕17号）第三十一条和第四十条的规定，上述事项属于应当及时披露的重大事件，并应当在定期报告中披露。香雪制药未按规定披露上述事项，</w:t>
      </w:r>
      <w:r>
        <w:rPr>
          <w:rFonts w:hint="default" w:ascii="仿宋_GB2312" w:hAnsi="仿宋_GB2312" w:eastAsia="仿宋_GB2312" w:cs="Times New Roman"/>
          <w:kern w:val="0"/>
          <w:sz w:val="32"/>
          <w:szCs w:val="32"/>
          <w:lang w:val="en" w:eastAsia="zh-CN"/>
        </w:rPr>
        <w:t>2016</w:t>
      </w:r>
      <w:r>
        <w:rPr>
          <w:rFonts w:hint="eastAsia" w:ascii="仿宋_GB2312" w:hAnsi="仿宋_GB2312" w:eastAsia="仿宋_GB2312" w:cs="Times New Roman"/>
          <w:kern w:val="0"/>
          <w:sz w:val="32"/>
          <w:szCs w:val="32"/>
          <w:lang w:val="en" w:eastAsia="zh-CN"/>
        </w:rPr>
        <w:t>年至</w:t>
      </w:r>
      <w:r>
        <w:rPr>
          <w:rFonts w:hint="eastAsia" w:ascii="仿宋_GB2312" w:hAnsi="仿宋_GB2312" w:eastAsia="仿宋_GB2312" w:cs="Times New Roman"/>
          <w:kern w:val="0"/>
          <w:sz w:val="32"/>
          <w:szCs w:val="32"/>
          <w:lang w:val="en-US" w:eastAsia="zh-CN"/>
        </w:rPr>
        <w:t>2020年年度报告披露的信息有重大遗漏。</w:t>
      </w:r>
    </w:p>
    <w:p>
      <w:pPr>
        <w:keepNext w:val="0"/>
        <w:keepLines w:val="0"/>
        <w:pageBreakBefore w:val="0"/>
        <w:widowControl w:val="0"/>
        <w:tabs>
          <w:tab w:val="left" w:pos="46"/>
        </w:tabs>
        <w:kinsoku/>
        <w:wordWrap/>
        <w:overflowPunct w:val="0"/>
        <w:topLinePunct w:val="0"/>
        <w:autoSpaceDE/>
        <w:autoSpaceDN/>
        <w:bidi w:val="0"/>
        <w:adjustRightInd/>
        <w:snapToGrid w:val="0"/>
        <w:spacing w:before="0" w:beforeLines="0" w:after="0" w:afterLines="0" w:line="336" w:lineRule="auto"/>
        <w:ind w:left="0" w:leftChars="0" w:right="0" w:rightChars="0" w:firstLine="640" w:firstLineChars="200"/>
        <w:jc w:val="both"/>
        <w:textAlignment w:val="auto"/>
        <w:outlineLvl w:val="9"/>
        <w:rPr>
          <w:rFonts w:hint="default" w:ascii="Calibri" w:hAnsi="Calibri"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上述违法事实，有上市公司公告、相关银行账户资金流水、记账凭证及原始凭证、情况说明、询问笔录等证据证明，足以认定。</w:t>
      </w:r>
    </w:p>
    <w:p>
      <w:pPr>
        <w:keepNext w:val="0"/>
        <w:keepLines w:val="0"/>
        <w:pageBreakBefore w:val="0"/>
        <w:widowControl w:val="0"/>
        <w:numPr>
          <w:ilvl w:val="-1"/>
          <w:numId w:val="0"/>
        </w:numPr>
        <w:tabs>
          <w:tab w:val="left" w:pos="46"/>
        </w:tabs>
        <w:kinsoku/>
        <w:wordWrap/>
        <w:overflowPunct w:val="0"/>
        <w:topLinePunct w:val="0"/>
        <w:autoSpaceDE/>
        <w:autoSpaceDN/>
        <w:bidi w:val="0"/>
        <w:adjustRightInd/>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我局认为，香雪制药的上述行为违反了2005年《证券法》第六十三条和第六十七条第一款、第二款第十二项，《证券法》第七十八条第一款、第二款和第八十条第一款、第二款第三项的规定，构成2005年《证券法》第一百九十三条第一款、《证券法》第一百九十七条第一款和第二款所述违法行为。</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 w:eastAsia="zh-CN"/>
        </w:rPr>
        <w:t>香雪制药涉案期间有关董事、高级管理人员违反了</w:t>
      </w:r>
      <w:r>
        <w:rPr>
          <w:rFonts w:hint="eastAsia" w:ascii="仿宋_GB2312" w:hAnsi="仿宋_GB2312" w:eastAsia="仿宋_GB2312" w:cs="Times New Roman"/>
          <w:kern w:val="0"/>
          <w:sz w:val="32"/>
          <w:szCs w:val="32"/>
          <w:lang w:val="en-US" w:eastAsia="zh-CN"/>
        </w:rPr>
        <w:t>2005年</w:t>
      </w:r>
      <w:r>
        <w:rPr>
          <w:rFonts w:hint="eastAsia" w:ascii="仿宋_GB2312" w:hAnsi="仿宋_GB2312" w:eastAsia="仿宋_GB2312" w:cs="Times New Roman"/>
          <w:kern w:val="0"/>
          <w:sz w:val="32"/>
          <w:szCs w:val="32"/>
          <w:lang w:val="en" w:eastAsia="zh-CN"/>
        </w:rPr>
        <w:t>《证券法》第六十八条第三款、《证券法》第八十二条第三款的规定，构成2005年《证券法》第一百九十三条第一款和《证券法》第一百九十七条第一款、第二款所述“直接负责的主管人员和其他直接责任人员”。其中，时任董事长、总经理王某辉是公司信息披露第一责任人，负责公司经营管理，组织、实施上述资金占用行为，知悉生物岛别墅被拆除情况，未勤勉尽责，签字保证香雪制药</w:t>
      </w:r>
      <w:r>
        <w:rPr>
          <w:rFonts w:hint="eastAsia" w:ascii="仿宋_GB2312" w:hAnsi="仿宋_GB2312" w:eastAsia="仿宋_GB2312" w:cs="Times New Roman"/>
          <w:kern w:val="0"/>
          <w:sz w:val="32"/>
          <w:szCs w:val="32"/>
          <w:lang w:val="en-US" w:eastAsia="zh-CN"/>
        </w:rPr>
        <w:t>2016年至2020年年度报告真实、准确、完整，</w:t>
      </w:r>
      <w:r>
        <w:rPr>
          <w:rFonts w:hint="eastAsia" w:ascii="仿宋_GB2312" w:hAnsi="仿宋_GB2312" w:eastAsia="仿宋_GB2312" w:cs="Times New Roman"/>
          <w:kern w:val="0"/>
          <w:sz w:val="32"/>
          <w:szCs w:val="32"/>
          <w:lang w:val="en" w:eastAsia="zh-CN"/>
        </w:rPr>
        <w:t>是香雪制药上述违法行为直接负责的主管人员</w:t>
      </w:r>
      <w:r>
        <w:rPr>
          <w:rFonts w:hint="eastAsia" w:ascii="仿宋_GB2312" w:hAnsi="仿宋_GB2312" w:eastAsia="仿宋_GB2312" w:cs="Times New Roman"/>
          <w:kern w:val="0"/>
          <w:sz w:val="32"/>
          <w:szCs w:val="32"/>
          <w:lang w:val="en-US" w:eastAsia="zh-CN"/>
        </w:rPr>
        <w:t>。时任财务总监卢某，参与上述部分资金占用对外付款单据审批，知悉生物岛别墅被拆除</w:t>
      </w:r>
      <w:r>
        <w:rPr>
          <w:rFonts w:hint="eastAsia" w:ascii="仿宋_GB2312" w:hAnsi="仿宋_GB2312" w:eastAsia="仿宋_GB2312" w:cs="Times New Roman"/>
          <w:kern w:val="0"/>
          <w:sz w:val="32"/>
          <w:szCs w:val="32"/>
          <w:lang w:val="en" w:eastAsia="zh-CN"/>
        </w:rPr>
        <w:t>情况</w:t>
      </w:r>
      <w:r>
        <w:rPr>
          <w:rFonts w:hint="eastAsia" w:ascii="仿宋_GB2312" w:hAnsi="仿宋_GB2312" w:eastAsia="仿宋_GB2312" w:cs="Times New Roman"/>
          <w:kern w:val="0"/>
          <w:sz w:val="32"/>
          <w:szCs w:val="32"/>
          <w:lang w:val="en-US" w:eastAsia="zh-CN"/>
        </w:rPr>
        <w:t>，未勤勉尽责，签字保证香雪制药2019年至2020年年度报告真实、准确、完整，是香雪制药2019年至2020年未按规定披露关联方非经营性资金占用、2019年至2020年年报存在重大遗漏以及2019年年报存在虚假记载的其他直接责任人员。时任财务总监陈某华，参与上述部分资金占用对外付款单据审批，未勤勉尽责，签字保证香雪制药2016年至2018年年度报告真实、准确、完整，是香雪制药2016年至2018年未按规定披露关联方非经营性资金占用、2016年至2018年年报存在重大遗漏的其他直接责任人员。</w:t>
      </w:r>
      <w:r>
        <w:rPr>
          <w:rFonts w:hint="eastAsia" w:ascii="仿宋_GB2312" w:hAnsi="仿宋_GB2312" w:eastAsia="仿宋_GB2312" w:cs="Times New Roman"/>
          <w:kern w:val="0"/>
          <w:sz w:val="32"/>
          <w:szCs w:val="32"/>
          <w:highlight w:val="none"/>
          <w:lang w:val="en-US" w:eastAsia="zh-CN"/>
        </w:rPr>
        <w:t>时任董事、副总经理、董事会秘书黄某</w:t>
      </w:r>
      <w:r>
        <w:rPr>
          <w:rFonts w:hint="eastAsia" w:ascii="仿宋_GB2312" w:hAnsi="仿宋_GB2312" w:eastAsia="仿宋_GB2312" w:cs="Times New Roman"/>
          <w:kern w:val="0"/>
          <w:sz w:val="32"/>
          <w:szCs w:val="32"/>
          <w:lang w:val="en-US" w:eastAsia="zh-CN"/>
        </w:rPr>
        <w:t>，</w:t>
      </w:r>
      <w:r>
        <w:rPr>
          <w:rFonts w:hint="eastAsia" w:ascii="仿宋_GB2312" w:hAnsi="仿宋_GB2312" w:eastAsia="仿宋_GB2312" w:cs="Times New Roman"/>
          <w:kern w:val="0"/>
          <w:sz w:val="32"/>
          <w:szCs w:val="32"/>
          <w:highlight w:val="none"/>
          <w:lang w:val="en-US" w:eastAsia="zh-CN"/>
        </w:rPr>
        <w:t>参与上述部分资金占用事项，</w:t>
      </w:r>
      <w:r>
        <w:rPr>
          <w:rFonts w:hint="eastAsia" w:ascii="仿宋_GB2312" w:hAnsi="仿宋_GB2312" w:eastAsia="仿宋_GB2312" w:cs="Times New Roman"/>
          <w:kern w:val="0"/>
          <w:sz w:val="32"/>
          <w:szCs w:val="32"/>
          <w:lang w:val="en-US" w:eastAsia="zh-CN"/>
        </w:rPr>
        <w:t>未勤勉尽责，签字保证香雪制药2016年至2020年年度报告真实、准确、完整，未勤勉尽责，是香雪制药2016年至2020年未按规定披露关联方非经营性资金占用、2016年至2020年年报存在重大遗漏的其他直接责任人员。时任董事、董事会秘书徐某，参与上述部分资金占用事项，未勤勉尽责，签字保证香雪制药201</w:t>
      </w:r>
      <w:r>
        <w:rPr>
          <w:rFonts w:hint="default" w:ascii="仿宋_GB2312" w:hAnsi="仿宋_GB2312" w:eastAsia="仿宋_GB2312" w:cs="Times New Roman"/>
          <w:kern w:val="0"/>
          <w:sz w:val="32"/>
          <w:szCs w:val="32"/>
          <w:lang w:val="en" w:eastAsia="zh-CN"/>
        </w:rPr>
        <w:t>7</w:t>
      </w:r>
      <w:r>
        <w:rPr>
          <w:rFonts w:hint="eastAsia" w:ascii="仿宋_GB2312" w:hAnsi="仿宋_GB2312" w:eastAsia="仿宋_GB2312" w:cs="Times New Roman"/>
          <w:kern w:val="0"/>
          <w:sz w:val="32"/>
          <w:szCs w:val="32"/>
          <w:lang w:val="en-US" w:eastAsia="zh-CN"/>
        </w:rPr>
        <w:t>年至2020年年度报告真实、准确、完整，未勤勉尽责，是香雪制药2017年至2020年未按规定披露关联方非经营性资金占用、201</w:t>
      </w:r>
      <w:r>
        <w:rPr>
          <w:rFonts w:hint="default" w:ascii="仿宋_GB2312" w:hAnsi="仿宋_GB2312" w:eastAsia="仿宋_GB2312" w:cs="Times New Roman"/>
          <w:kern w:val="0"/>
          <w:sz w:val="32"/>
          <w:szCs w:val="32"/>
          <w:lang w:val="en" w:eastAsia="zh-CN"/>
        </w:rPr>
        <w:t>7</w:t>
      </w:r>
      <w:r>
        <w:rPr>
          <w:rFonts w:hint="eastAsia" w:ascii="仿宋_GB2312" w:hAnsi="仿宋_GB2312" w:eastAsia="仿宋_GB2312" w:cs="Times New Roman"/>
          <w:kern w:val="0"/>
          <w:sz w:val="32"/>
          <w:szCs w:val="32"/>
          <w:lang w:val="en-US" w:eastAsia="zh-CN"/>
        </w:rPr>
        <w:t>年至2020年年报存在重大遗漏的其他直接责任人员。</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36" w:lineRule="auto"/>
        <w:ind w:right="0" w:rightChars="0" w:firstLine="640" w:firstLineChars="200"/>
        <w:jc w:val="both"/>
        <w:textAlignment w:val="auto"/>
        <w:outlineLvl w:val="9"/>
        <w:rPr>
          <w:rFonts w:hint="default" w:ascii="仿宋_GB2312" w:hAnsi="仿宋_GB2312" w:eastAsia="仿宋_GB2312" w:cs="Times New Roman"/>
          <w:kern w:val="0"/>
          <w:sz w:val="32"/>
          <w:szCs w:val="32"/>
          <w:lang w:val="en-US" w:eastAsia="zh-CN"/>
        </w:rPr>
      </w:pPr>
      <w:r>
        <w:rPr>
          <w:rFonts w:hint="default" w:ascii="仿宋_GB2312" w:hAnsi="仿宋_GB2312" w:eastAsia="仿宋_GB2312" w:cs="Times New Roman"/>
          <w:kern w:val="0"/>
          <w:sz w:val="32"/>
          <w:szCs w:val="32"/>
          <w:lang w:val="en-US" w:eastAsia="zh-CN"/>
        </w:rPr>
        <w:t>此外，</w:t>
      </w:r>
      <w:r>
        <w:rPr>
          <w:rFonts w:hint="eastAsia" w:ascii="仿宋_GB2312" w:hAnsi="仿宋_GB2312" w:eastAsia="仿宋_GB2312" w:cs="Times New Roman"/>
          <w:kern w:val="0"/>
          <w:sz w:val="32"/>
          <w:szCs w:val="32"/>
          <w:lang w:val="en-US" w:eastAsia="zh-CN"/>
        </w:rPr>
        <w:t>王某辉作为</w:t>
      </w:r>
      <w:r>
        <w:rPr>
          <w:rFonts w:hint="default" w:ascii="仿宋_GB2312" w:hAnsi="仿宋_GB2312" w:eastAsia="仿宋_GB2312" w:cs="Times New Roman"/>
          <w:kern w:val="0"/>
          <w:sz w:val="32"/>
          <w:szCs w:val="32"/>
          <w:lang w:val="en-US" w:eastAsia="zh-CN"/>
        </w:rPr>
        <w:t>香雪制药实际控制人，组织、指使上述资金占用行为，</w:t>
      </w:r>
      <w:r>
        <w:rPr>
          <w:rFonts w:hint="eastAsia" w:ascii="仿宋_GB2312" w:hAnsi="仿宋_GB2312" w:eastAsia="仿宋_GB2312" w:cs="Times New Roman"/>
          <w:kern w:val="0"/>
          <w:sz w:val="32"/>
          <w:szCs w:val="32"/>
          <w:lang w:val="en-US" w:eastAsia="zh-CN"/>
        </w:rPr>
        <w:t>导致香雪制药未按规定披露上述关联方非经营性资金占用，2016年至2020年年报存在重大遗漏</w:t>
      </w:r>
      <w:r>
        <w:rPr>
          <w:rFonts w:hint="default" w:ascii="仿宋_GB2312" w:hAnsi="仿宋_GB2312" w:eastAsia="仿宋_GB2312" w:cs="Times New Roman"/>
          <w:kern w:val="0"/>
          <w:sz w:val="32"/>
          <w:szCs w:val="32"/>
          <w:lang w:val="en-US" w:eastAsia="zh-CN"/>
        </w:rPr>
        <w:t>，构成2005年《证券法》第一百九十三条第三款以及《证券法》第一百九十七条</w:t>
      </w:r>
      <w:r>
        <w:rPr>
          <w:rFonts w:hint="eastAsia" w:ascii="仿宋_GB2312" w:hAnsi="仿宋_GB2312" w:eastAsia="仿宋_GB2312" w:cs="Times New Roman"/>
          <w:kern w:val="0"/>
          <w:sz w:val="32"/>
          <w:szCs w:val="32"/>
          <w:lang w:val="en-US" w:eastAsia="zh-CN"/>
        </w:rPr>
        <w:t>第一款、</w:t>
      </w:r>
      <w:r>
        <w:rPr>
          <w:rFonts w:hint="default" w:ascii="仿宋_GB2312" w:hAnsi="仿宋_GB2312" w:eastAsia="仿宋_GB2312" w:cs="Times New Roman"/>
          <w:kern w:val="0"/>
          <w:sz w:val="32"/>
          <w:szCs w:val="32"/>
          <w:lang w:val="en-US" w:eastAsia="zh-CN"/>
        </w:rPr>
        <w:t>第二款所述</w:t>
      </w:r>
      <w:r>
        <w:rPr>
          <w:rFonts w:hint="eastAsia" w:ascii="仿宋_GB2312" w:hAnsi="仿宋_GB2312" w:eastAsia="仿宋_GB2312" w:cs="Times New Roman"/>
          <w:kern w:val="0"/>
          <w:sz w:val="32"/>
          <w:szCs w:val="32"/>
          <w:lang w:val="en-US" w:eastAsia="zh-CN"/>
        </w:rPr>
        <w:t>违法行为</w:t>
      </w:r>
      <w:r>
        <w:rPr>
          <w:rFonts w:hint="default" w:ascii="仿宋_GB2312" w:hAnsi="仿宋_GB2312" w:eastAsia="仿宋_GB2312" w:cs="Times New Roman"/>
          <w:kern w:val="0"/>
          <w:sz w:val="32"/>
          <w:szCs w:val="32"/>
          <w:lang w:val="en-US" w:eastAsia="zh-CN"/>
        </w:rPr>
        <w:t>。</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36" w:lineRule="auto"/>
        <w:ind w:firstLine="640" w:firstLineChars="200"/>
        <w:textAlignment w:val="baseline"/>
        <w:rPr>
          <w:rFonts w:hint="eastAsia"/>
          <w:lang w:val="en-US"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香雪制药、王某辉、卢某、陈某华、黄某、徐某及其代理人提出相关陈述申辩意见。经复核，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对香雪制药、王某辉的陈述申辩意见部分予以采纳，对卢某、陈某华、黄某、徐某的陈述申辩意见不予采纳。</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根据当事人违法行为的事实、性质、情节与社会危害程度，并结合违法行为跨越新旧《证券法》适用的特别情形，依据《证券法》第一百九十七条第二款的规定，我局决定：</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对广州市香雪制药股份有限公司责令改正，给予警告，并处以600万元罚款；</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王某辉</w:t>
      </w:r>
      <w:r>
        <w:rPr>
          <w:rFonts w:hint="eastAsia" w:ascii="仿宋_GB2312" w:hAnsi="仿宋_GB2312" w:eastAsia="仿宋_GB2312" w:cs="仿宋_GB2312"/>
          <w:color w:val="000000" w:themeColor="text1"/>
          <w:kern w:val="0"/>
          <w:sz w:val="32"/>
          <w:szCs w:val="32"/>
          <w14:textFill>
            <w14:solidFill>
              <w14:schemeClr w14:val="tx1"/>
            </w14:solidFill>
          </w14:textFill>
        </w:rPr>
        <w:t>给予警告，并处以1000万元罚款，其中作为直接负责的主管人员处以300万元罚款,作为实际控制人处以700万元罚款；</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卢某</w:t>
      </w:r>
      <w:r>
        <w:rPr>
          <w:rFonts w:hint="eastAsia" w:ascii="仿宋_GB2312" w:hAnsi="仿宋_GB2312" w:eastAsia="仿宋_GB2312" w:cs="仿宋_GB2312"/>
          <w:color w:val="000000" w:themeColor="text1"/>
          <w:kern w:val="0"/>
          <w:sz w:val="32"/>
          <w:szCs w:val="32"/>
          <w14:textFill>
            <w14:solidFill>
              <w14:schemeClr w14:val="tx1"/>
            </w14:solidFill>
          </w14:textFill>
        </w:rPr>
        <w:t>给予警告，并处以200万元罚款；</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14:textFill>
            <w14:solidFill>
              <w14:schemeClr w14:val="tx1"/>
            </w14:solidFill>
          </w14:textFill>
        </w:rPr>
        <w:t>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黄某</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徐某</w:t>
      </w:r>
      <w:r>
        <w:rPr>
          <w:rFonts w:hint="eastAsia" w:ascii="仿宋_GB2312" w:hAnsi="仿宋_GB2312" w:eastAsia="仿宋_GB2312" w:cs="仿宋_GB2312"/>
          <w:color w:val="000000" w:themeColor="text1"/>
          <w:kern w:val="0"/>
          <w:sz w:val="32"/>
          <w:szCs w:val="32"/>
          <w14:textFill>
            <w14:solidFill>
              <w14:schemeClr w14:val="tx1"/>
            </w14:solidFill>
          </w14:textFill>
        </w:rPr>
        <w:t>给予警告，并分别处以100万元罚款；</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根据当事人违法行为的事实、性质、情节与社会危害程度，依据2005年《证券法》第一百九十三条第一款的规定，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我局决定</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陈某华</w:t>
      </w:r>
      <w:r>
        <w:rPr>
          <w:rFonts w:hint="eastAsia" w:ascii="仿宋_GB2312" w:hAnsi="仿宋_GB2312" w:eastAsia="仿宋_GB2312" w:cs="仿宋_GB2312"/>
          <w:color w:val="000000" w:themeColor="text1"/>
          <w:kern w:val="0"/>
          <w:sz w:val="32"/>
          <w:szCs w:val="32"/>
          <w14:textFill>
            <w14:solidFill>
              <w14:schemeClr w14:val="tx1"/>
            </w14:solidFill>
          </w14:textFill>
        </w:rPr>
        <w:t>给予警告，并处以15万元罚款。</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述当事人应自收到本处罚决定书之日起15日内，将罚款直接汇交国库。具体缴款方式见本处罚决定书所附说明。同时，须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8"/>
        <w:widowControl w:val="0"/>
        <w:overflowPunct w:val="0"/>
        <w:snapToGrid w:val="0"/>
        <w:spacing w:line="360" w:lineRule="auto"/>
        <w:rPr>
          <w:rFonts w:hint="eastAsia" w:ascii="仿宋_GB2312" w:hAnsi="仿宋_GB2312" w:eastAsia="仿宋_GB2312" w:cs="仿宋_GB2312"/>
          <w:color w:val="auto"/>
          <w:sz w:val="22"/>
          <w:szCs w:val="22"/>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2"/>
          <w:szCs w:val="22"/>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2"/>
          <w:szCs w:val="22"/>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ind w:right="0"/>
        <w:jc w:val="center"/>
        <w:outlineLvl w:val="9"/>
        <w:rPr>
          <w:rFonts w:hint="eastAsia" w:ascii="黑体" w:eastAsia="黑体"/>
          <w:spacing w:val="8"/>
          <w:sz w:val="32"/>
          <w:szCs w:val="20"/>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8</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13</w:t>
      </w:r>
      <w:r>
        <w:rPr>
          <w:rFonts w:hint="eastAsia" w:ascii="仿宋_GB2312" w:hAnsi="Times New Roman" w:eastAsia="仿宋_GB2312" w:cs="Times New Roman"/>
          <w:color w:val="000000"/>
          <w:spacing w:val="10"/>
          <w:sz w:val="32"/>
          <w:szCs w:val="32"/>
        </w:rPr>
        <w:t>日</w:t>
      </w: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revisionView w:markup="0"/>
  <w:trackRevisions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3BAACC"/>
    <w:rsid w:val="3D8FFFF5"/>
    <w:rsid w:val="3FAE40D5"/>
    <w:rsid w:val="3FDFB776"/>
    <w:rsid w:val="6195FD2A"/>
    <w:rsid w:val="76DCF4F6"/>
    <w:rsid w:val="77BF0204"/>
    <w:rsid w:val="9EFC9062"/>
    <w:rsid w:val="BBF7BCB1"/>
    <w:rsid w:val="BE7B2AE6"/>
    <w:rsid w:val="BF3F493F"/>
    <w:rsid w:val="DFAC337A"/>
    <w:rsid w:val="DFFB25F6"/>
    <w:rsid w:val="EBFF79B3"/>
    <w:rsid w:val="F2B396B0"/>
    <w:rsid w:val="F56F08AC"/>
    <w:rsid w:val="F83BAACC"/>
    <w:rsid w:val="FD3DAD9C"/>
    <w:rsid w:val="FD7BCA0A"/>
    <w:rsid w:val="FEAFF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 Char Char Char Char"/>
    <w:basedOn w:val="1"/>
    <w:qFormat/>
    <w:uiPriority w:val="0"/>
    <w:pPr>
      <w:tabs>
        <w:tab w:val="left" w:pos="360"/>
      </w:tabs>
    </w:pPr>
  </w:style>
  <w:style w:type="paragraph" w:customStyle="1" w:styleId="10">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2025-08-08T10:14:00Z</dcterms:created>
  <dc:creator>奚呈</dc:creator>
  <cp:lastModifiedBy>胡芬：处室负责人审核</cp:lastModifiedBy>
  <cp:lastPrinted>2025-08-10T19:37:00Z</cp:lastPrinted>
  <dcterms:modified xsi:type="dcterms:W3CDTF">2025-08-29T11:21:02Z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222086925B9BEE96A57F9D6848A2DD19</vt:lpwstr>
  </property>
</Properties>
</file>