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300" w:lineRule="auto"/>
        <w:jc w:val="center"/>
        <w:rPr>
          <w:rFonts w:hint="eastAsia" w:ascii="方正小标宋简体" w:hAnsi="方正小标宋简体" w:eastAsia="方正小标宋简体"/>
          <w:color w:val="FF0000"/>
          <w:spacing w:val="12"/>
          <w:w w:val="75"/>
          <w:sz w:val="60"/>
        </w:rPr>
      </w:pPr>
      <w:bookmarkStart w:id="1" w:name="_GoBack"/>
      <w:r>
        <w:rPr>
          <w:rFonts w:hint="eastAsia" w:ascii="方正小标宋简体" w:hAnsi="方正小标宋简体" w:eastAsia="方正小标宋简体"/>
          <w:color w:val="FF0000"/>
          <w:w w:val="75"/>
          <w:sz w:val="60"/>
        </w:rPr>
        <w:t>中国证券监督管理委员会广东监管局</w:t>
      </w:r>
    </w:p>
    <w:p>
      <w:pPr>
        <w:snapToGrid w:val="0"/>
        <w:spacing w:line="300" w:lineRule="auto"/>
        <w:ind w:right="-194"/>
        <w:jc w:val="center"/>
        <w:rPr>
          <w:rFonts w:hint="eastAsia" w:ascii="方正小标宋简体" w:hAnsi="方正小标宋简体" w:eastAsia="方正小标宋简体"/>
          <w:snapToGrid w:val="0"/>
          <w:color w:val="FF0000"/>
          <w:spacing w:val="136"/>
          <w:kern w:val="0"/>
          <w:sz w:val="80"/>
        </w:rPr>
      </w:pPr>
      <w:r>
        <w:rPr>
          <w:rFonts w:hint="eastAsia" w:ascii="方正小标宋简体" w:hAnsi="方正小标宋简体" w:eastAsia="方正小标宋简体"/>
          <w:snapToGrid w:val="0"/>
          <w:color w:val="FF0000"/>
          <w:spacing w:val="136"/>
          <w:kern w:val="0"/>
          <w:sz w:val="80"/>
        </w:rPr>
        <w:t>行政处罚决定书</w:t>
      </w:r>
    </w:p>
    <w:p>
      <w:pPr>
        <w:keepNext w:val="0"/>
        <w:keepLines w:val="0"/>
        <w:pageBreakBefore w:val="0"/>
        <w:widowControl w:val="0"/>
        <w:kinsoku/>
        <w:wordWrap/>
        <w:overflowPunct/>
        <w:topLinePunct w:val="0"/>
        <w:autoSpaceDE/>
        <w:autoSpaceDN/>
        <w:bidi w:val="0"/>
        <w:snapToGrid w:val="0"/>
        <w:spacing w:before="0" w:beforeLines="0" w:after="0" w:afterLines="0" w:line="300" w:lineRule="auto"/>
        <w:ind w:left="0" w:leftChars="0" w:right="0" w:rightChars="0"/>
        <w:jc w:val="center"/>
        <w:textAlignment w:val="auto"/>
        <w:outlineLvl w:val="9"/>
        <w:rPr>
          <w:rFonts w:hint="eastAsia" w:ascii="仿宋_GB2312" w:eastAsia="仿宋_GB2312"/>
          <w:spacing w:val="12"/>
          <w:sz w:val="32"/>
          <w:szCs w:val="32"/>
        </w:rPr>
      </w:pPr>
      <w:bookmarkStart w:id="0" w:name="quanwen"/>
    </w:p>
    <w:p>
      <w:pPr>
        <w:keepNext w:val="0"/>
        <w:keepLines w:val="0"/>
        <w:pageBreakBefore w:val="0"/>
        <w:widowControl w:val="0"/>
        <w:kinsoku/>
        <w:wordWrap/>
        <w:overflowPunct/>
        <w:topLinePunct w:val="0"/>
        <w:autoSpaceDE/>
        <w:autoSpaceDN/>
        <w:bidi w:val="0"/>
        <w:snapToGrid w:val="0"/>
        <w:spacing w:before="0" w:beforeLines="0" w:after="0" w:afterLines="0" w:line="324" w:lineRule="auto"/>
        <w:ind w:left="0" w:leftChars="0" w:right="0" w:rightChars="0"/>
        <w:jc w:val="center"/>
        <w:textAlignment w:val="auto"/>
        <w:outlineLvl w:val="0"/>
        <w:rPr>
          <w:rFonts w:hint="eastAsia" w:ascii="仿宋_GB2312" w:eastAsia="仿宋_GB2312"/>
          <w:spacing w:val="12"/>
          <w:sz w:val="28"/>
        </w:rPr>
      </w:pPr>
      <w:r>
        <w:rPr>
          <w:rFonts w:hint="eastAsia" w:ascii="仿宋_GB2312" w:eastAsia="仿宋_GB2312"/>
          <w:spacing w:val="12"/>
          <w:sz w:val="28"/>
        </w:rPr>
        <w:t>〔20</w:t>
      </w:r>
      <w:r>
        <w:rPr>
          <w:rFonts w:hint="eastAsia" w:ascii="仿宋_GB2312" w:eastAsia="仿宋_GB2312"/>
          <w:spacing w:val="12"/>
          <w:sz w:val="28"/>
          <w:lang w:val="en-US" w:eastAsia="zh-CN"/>
        </w:rPr>
        <w:t>2</w:t>
      </w:r>
      <w:r>
        <w:rPr>
          <w:rFonts w:hint="default" w:ascii="仿宋_GB2312" w:eastAsia="仿宋_GB2312"/>
          <w:spacing w:val="12"/>
          <w:sz w:val="28"/>
          <w:lang w:val="en-US" w:eastAsia="zh-CN"/>
        </w:rPr>
        <w:t>5</w:t>
      </w:r>
      <w:r>
        <w:rPr>
          <w:rFonts w:hint="eastAsia" w:ascii="仿宋_GB2312" w:eastAsia="仿宋_GB2312"/>
          <w:spacing w:val="12"/>
          <w:sz w:val="28"/>
        </w:rPr>
        <w:t>〕</w:t>
      </w:r>
      <w:r>
        <w:rPr>
          <w:rFonts w:hint="default" w:ascii="仿宋_GB2312" w:eastAsia="仿宋_GB2312"/>
          <w:spacing w:val="12"/>
          <w:sz w:val="28"/>
          <w:lang w:val="en-US"/>
        </w:rPr>
        <w:t>15</w:t>
      </w:r>
      <w:r>
        <w:rPr>
          <w:rFonts w:hint="eastAsia" w:ascii="仿宋_GB2312" w:eastAsia="仿宋_GB2312"/>
          <w:spacing w:val="12"/>
          <w:sz w:val="28"/>
        </w:rPr>
        <w:t>号</w:t>
      </w:r>
      <w:bookmarkEnd w:id="1"/>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352" w:firstLineChars="200"/>
        <w:textAlignment w:val="auto"/>
        <w:outlineLvl w:val="9"/>
        <w:rPr>
          <w:rFonts w:hint="eastAsia" w:ascii="仿宋_GB2312" w:eastAsia="仿宋_GB2312"/>
          <w:spacing w:val="8"/>
          <w:sz w:val="16"/>
          <w:szCs w:val="16"/>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352" w:firstLineChars="200"/>
        <w:textAlignment w:val="auto"/>
        <w:outlineLvl w:val="9"/>
        <w:rPr>
          <w:rFonts w:hint="eastAsia" w:ascii="仿宋_GB2312" w:eastAsia="仿宋_GB2312"/>
          <w:spacing w:val="8"/>
          <w:sz w:val="16"/>
          <w:szCs w:val="16"/>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line="320"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当事人：珠海汇金科技股份有限公司（以下简称汇金科技），住所：广东省珠海市高新区鼎兴路199号1栋9-15层。</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line="320"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陈某，女，196X年3月出生，时任汇金科技董事长，住所：广东省珠海市香洲区。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line="320"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马某桃，男，196X年6月出生，</w:t>
      </w:r>
      <w:r>
        <w:rPr>
          <w:rFonts w:hint="eastAsia" w:ascii="仿宋_GB2312" w:hAnsi="仿宋_GB2312" w:eastAsia="仿宋_GB2312" w:cs="Times New Roman"/>
          <w:kern w:val="0"/>
          <w:sz w:val="32"/>
          <w:szCs w:val="32"/>
          <w:lang w:val="en" w:eastAsia="zh-CN"/>
        </w:rPr>
        <w:t>时任汇金科技董事、总经理，</w:t>
      </w:r>
      <w:r>
        <w:rPr>
          <w:rFonts w:hint="eastAsia" w:ascii="仿宋_GB2312" w:hAnsi="仿宋_GB2312" w:eastAsia="仿宋_GB2312" w:cs="Times New Roman"/>
          <w:sz w:val="32"/>
          <w:szCs w:val="32"/>
          <w:lang w:val="en-US" w:eastAsia="zh-CN"/>
        </w:rPr>
        <w:t>住址：广东省珠海市香洲区。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line="320"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孙某玲，女，197X年3月出生，时任汇金科技董事、副总经理、财务总监</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Times New Roman"/>
          <w:sz w:val="32"/>
          <w:szCs w:val="32"/>
          <w:lang w:val="en-US" w:eastAsia="zh-CN"/>
        </w:rPr>
        <w:t>住址：广东省珠海市香洲区。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line="320" w:lineRule="auto"/>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Times New Roman"/>
          <w:color w:val="auto"/>
          <w:kern w:val="2"/>
          <w:sz w:val="32"/>
          <w:szCs w:val="32"/>
          <w:lang w:val="en-US" w:eastAsia="zh-CN" w:bidi="ar-SA"/>
        </w:rPr>
        <w:t>依据《中华人民共和国证券法》（以下简称《证券法》）的有关规定，我局对汇金科技信息披露违法违规行为进行了立案调查，并依法向当事人告知了作出行政处罚的事实、理由、依据及当事人依法享有的权利。当事人汇金科技、陈某、马某桃、孙某玲均未提出陈述、申辩，也未要求听证。本案现已调查、办理终结</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line="320" w:lineRule="auto"/>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经查明，</w:t>
      </w:r>
      <w:r>
        <w:rPr>
          <w:rFonts w:hint="eastAsia" w:ascii="仿宋_GB2312" w:hAnsi="仿宋_GB2312" w:eastAsia="仿宋_GB2312" w:cs="仿宋_GB2312"/>
          <w:b w:val="0"/>
          <w:bCs w:val="0"/>
          <w:color w:val="auto"/>
          <w:sz w:val="32"/>
          <w:szCs w:val="32"/>
          <w:lang w:val="en-US" w:eastAsia="zh-CN"/>
        </w:rPr>
        <w:t>汇金科技</w:t>
      </w:r>
      <w:r>
        <w:rPr>
          <w:rFonts w:hint="eastAsia" w:ascii="仿宋_GB2312" w:hAnsi="仿宋_GB2312" w:eastAsia="仿宋_GB2312" w:cs="仿宋_GB2312"/>
          <w:kern w:val="0"/>
          <w:sz w:val="32"/>
          <w:szCs w:val="32"/>
          <w:lang w:val="en-US" w:eastAsia="zh-CN" w:bidi="ar-SA"/>
        </w:rPr>
        <w:t>存在以下违法事实：</w:t>
      </w:r>
    </w:p>
    <w:p>
      <w:pPr>
        <w:keepNext w:val="0"/>
        <w:keepLines w:val="0"/>
        <w:pageBreakBefore w:val="0"/>
        <w:widowControl w:val="0"/>
        <w:kinsoku/>
        <w:wordWrap/>
        <w:overflowPunct w:val="0"/>
        <w:topLinePunct w:val="0"/>
        <w:autoSpaceDE/>
        <w:autoSpaceDN/>
        <w:bidi w:val="0"/>
        <w:adjustRightInd w:val="0"/>
        <w:snapToGrid w:val="0"/>
        <w:spacing w:line="320" w:lineRule="auto"/>
        <w:ind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汇金科技在2025年1月24日披露的2024年度业绩预告中，仅披露了本报告期内净利润为负值，未披露公司2024年年度扣除后的营业收入不足1亿元。根据《深圳证券交易所创业板股票上市规则》相关规定，亏损且营业收入不足1亿元将被交易所实施退市风险警示。2024年12月，汇金科技将尚未实际履行的9,037,382.29元订单金额计入2024年年度营业收入，剔除上述金额后汇金科技2024年年度营业收入不足1亿元，公司2024年度业绩预告存在误导性陈述</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上述有关违法事实，有上市公司公告、记账凭证及原始凭证、情况说明、询问笔录等证据证明，足以认定。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auto"/>
        <w:ind w:right="0" w:rightChars="0" w:firstLine="640" w:firstLineChars="200"/>
        <w:jc w:val="both"/>
        <w:textAlignment w:val="auto"/>
        <w:outlineLvl w:val="9"/>
        <w:rPr>
          <w:rFonts w:hint="eastAsia" w:ascii="仿宋_GB2312" w:hAnsi="仿宋_GB2312" w:eastAsia="仿宋_GB2312" w:cs="楷体_GB2312"/>
          <w:kern w:val="2"/>
          <w:sz w:val="32"/>
          <w:szCs w:val="32"/>
          <w:highlight w:val="none"/>
          <w:lang w:val="en-US" w:eastAsia="zh-CN" w:bidi="ar-SA"/>
        </w:rPr>
      </w:pPr>
      <w:r>
        <w:rPr>
          <w:rFonts w:hint="eastAsia" w:ascii="仿宋_GB2312" w:hAnsi="仿宋_GB2312" w:eastAsia="仿宋_GB2312" w:cs="仿宋_GB2312"/>
          <w:b w:val="0"/>
          <w:bCs w:val="0"/>
          <w:color w:val="auto"/>
          <w:sz w:val="32"/>
          <w:szCs w:val="32"/>
          <w:lang w:val="en-US" w:eastAsia="zh-CN"/>
        </w:rPr>
        <w:t>汇金科技在2025年1月24日披露的2024年度业绩预告存在误导性陈述，违反《证券法》第七十八条第二款的规定，构成《证券法》第一百九十七条第二款所述违法行为</w:t>
      </w:r>
      <w:r>
        <w:rPr>
          <w:rFonts w:hint="eastAsia" w:ascii="仿宋_GB2312" w:hAnsi="仿宋_GB2312" w:eastAsia="仿宋_GB2312" w:cs="楷体_GB2312"/>
          <w:kern w:val="2"/>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auto"/>
        <w:ind w:right="0" w:rightChars="0" w:firstLine="640" w:firstLineChars="200"/>
        <w:jc w:val="both"/>
        <w:textAlignment w:val="auto"/>
        <w:outlineLvl w:val="9"/>
        <w:rPr>
          <w:rFonts w:hint="eastAsia" w:ascii="Times New Roman" w:hAnsi="Times New Roman" w:eastAsia="宋体" w:cs="Times New Roman"/>
          <w:kern w:val="2"/>
          <w:sz w:val="32"/>
          <w:szCs w:val="32"/>
          <w:lang w:val="en-US" w:eastAsia="zh-CN" w:bidi="ar-SA"/>
        </w:rPr>
      </w:pPr>
      <w:r>
        <w:rPr>
          <w:rFonts w:hint="eastAsia" w:ascii="仿宋_GB2312" w:hAnsi="仿宋_GB2312" w:eastAsia="仿宋_GB2312" w:cs="仿宋_GB2312"/>
          <w:kern w:val="2"/>
          <w:sz w:val="32"/>
          <w:szCs w:val="32"/>
          <w:lang w:val="en" w:eastAsia="zh-CN" w:bidi="ar-SA"/>
        </w:rPr>
        <w:t>汇金科技涉案期间有关董事、高级管理人员违反了《证券法》第八十二条第三款的规定，构成《证券法》第一百九十七条第二款所述“直接负责的主管人员和其他直接责任人员”。其中，陈某作为汇金科技时任董事长，全面负责汇金科技的经营管理工作，没有关注大额业务的动向，未勤勉尽责，是对汇金科技上述信息披露违法违规行为直接负责的主管人员。马某桃作为汇金科技时任总经理，组织策划对客户暂不需要的产品提前在系统办理出库手续，并推送给财务入账确认收入，是汇金科技上述信息披露违法违规行为直接负责的主管人员。孙某玲作为汇金科技时任财务总监，负责公司整体财务工作，知悉公司发布业绩预告时营业收入低于1亿元，未勤勉尽责，是汇金科技上述信息披露违法违规行为的其他直接责任人员。</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auto"/>
        <w:ind w:right="0" w:rightChars="0" w:firstLine="640" w:firstLineChars="200"/>
        <w:jc w:val="both"/>
        <w:textAlignment w:val="auto"/>
        <w:outlineLvl w:val="9"/>
        <w:rPr>
          <w:rFonts w:hint="eastAsia" w:ascii="仿宋_GB2312" w:hAnsi="仿宋_GB2312" w:eastAsia="仿宋_GB2312" w:cs="楷体_GB2312"/>
          <w:kern w:val="2"/>
          <w:sz w:val="32"/>
          <w:szCs w:val="32"/>
          <w:lang w:val="en-US" w:eastAsia="zh-CN" w:bidi="ar-SA"/>
        </w:rPr>
      </w:pPr>
      <w:r>
        <w:rPr>
          <w:rFonts w:hint="eastAsia" w:ascii="仿宋_GB2312" w:hAnsi="仿宋_GB2312" w:eastAsia="仿宋_GB2312" w:cs="楷体_GB2312"/>
          <w:kern w:val="2"/>
          <w:sz w:val="32"/>
          <w:szCs w:val="32"/>
          <w:lang w:val="en-US" w:eastAsia="zh-CN" w:bidi="ar-SA"/>
        </w:rPr>
        <w:t>根据当事人违法行为的事实、性质、情节及社会危害程度，依据《证券法》第一百九十七条第二款的规定，我局决定：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auto"/>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楷体_GB2312"/>
          <w:kern w:val="2"/>
          <w:sz w:val="32"/>
          <w:szCs w:val="32"/>
          <w:lang w:val="en-US" w:eastAsia="zh-CN" w:bidi="ar-SA"/>
        </w:rPr>
        <w:t>一、对珠海汇金科技股份有限公司给予警告，并处以200万元罚款</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line="320" w:lineRule="auto"/>
        <w:ind w:left="0" w:leftChars="0" w:right="0" w:rightChars="0" w:firstLine="640" w:firstLineChars="200"/>
        <w:jc w:val="both"/>
        <w:textAlignment w:val="auto"/>
        <w:outlineLvl w:val="9"/>
        <w:rPr>
          <w:rFonts w:hint="eastAsia" w:ascii="仿宋_GB2312" w:hAnsi="仿宋_GB2312" w:eastAsia="仿宋_GB2312" w:cs="楷体_GB2312"/>
          <w:kern w:val="2"/>
          <w:sz w:val="32"/>
          <w:szCs w:val="32"/>
          <w:lang w:val="en-US" w:eastAsia="zh-CN" w:bidi="ar-SA"/>
        </w:rPr>
      </w:pPr>
      <w:r>
        <w:rPr>
          <w:rFonts w:hint="eastAsia" w:ascii="仿宋_GB2312" w:hAnsi="仿宋_GB2312" w:eastAsia="仿宋_GB2312" w:cs="楷体_GB2312"/>
          <w:kern w:val="2"/>
          <w:sz w:val="32"/>
          <w:szCs w:val="32"/>
          <w:lang w:val="en-US" w:eastAsia="zh-CN" w:bidi="ar-SA"/>
        </w:rPr>
        <w:t>二、对陈某、马某桃给予警告，并分别处以150万元罚款</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line="320" w:lineRule="auto"/>
        <w:ind w:left="0" w:leftChars="0" w:right="0" w:rightChars="0" w:firstLine="640" w:firstLineChars="200"/>
        <w:jc w:val="both"/>
        <w:textAlignment w:val="auto"/>
        <w:outlineLvl w:val="9"/>
        <w:rPr>
          <w:rFonts w:hint="eastAsia" w:ascii="仿宋_GB2312" w:hAnsi="仿宋_GB2312" w:eastAsia="仿宋_GB2312" w:cs="楷体_GB2312"/>
          <w:kern w:val="2"/>
          <w:sz w:val="32"/>
          <w:szCs w:val="32"/>
          <w:highlight w:val="none"/>
          <w:lang w:val="en-US" w:eastAsia="zh-CN" w:bidi="ar-SA"/>
        </w:rPr>
      </w:pPr>
      <w:r>
        <w:rPr>
          <w:rFonts w:hint="eastAsia" w:ascii="仿宋_GB2312" w:hAnsi="仿宋_GB2312" w:eastAsia="仿宋_GB2312" w:cs="楷体_GB2312"/>
          <w:kern w:val="2"/>
          <w:sz w:val="32"/>
          <w:szCs w:val="32"/>
          <w:lang w:val="en-US" w:eastAsia="zh-CN" w:bidi="ar-SA"/>
        </w:rPr>
        <w:t>三、</w:t>
      </w:r>
      <w:r>
        <w:rPr>
          <w:rFonts w:hint="eastAsia" w:ascii="仿宋_GB2312" w:hAnsi="仿宋_GB2312" w:eastAsia="仿宋_GB2312" w:cs="楷体_GB2312"/>
          <w:kern w:val="2"/>
          <w:sz w:val="32"/>
          <w:szCs w:val="32"/>
          <w:highlight w:val="none"/>
          <w:lang w:val="en-US" w:eastAsia="zh-CN" w:bidi="ar-SA"/>
        </w:rPr>
        <w:t>对孙某玲给予警告，并处以100万元罚款</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pBdr>
          <w:top w:val="none" w:color="auto" w:sz="0" w:space="0"/>
        </w:pBdr>
        <w:kinsoku/>
        <w:wordWrap/>
        <w:overflowPunct w:val="0"/>
        <w:topLinePunct w:val="0"/>
        <w:autoSpaceDE/>
        <w:autoSpaceDN/>
        <w:bidi w:val="0"/>
        <w:adjustRightInd w:val="0"/>
        <w:snapToGrid w:val="0"/>
        <w:spacing w:line="320" w:lineRule="auto"/>
        <w:ind w:right="0" w:firstLine="640" w:firstLineChars="200"/>
        <w:jc w:val="both"/>
        <w:outlineLvl w:val="9"/>
        <w:rPr>
          <w:rFonts w:hint="default" w:ascii="仿宋_GB2312" w:eastAsia="仿宋_GB2312"/>
          <w:spacing w:val="8"/>
          <w:sz w:val="2"/>
          <w:szCs w:val="2"/>
          <w:lang w:val="en-US" w:eastAsia="zh-CN"/>
        </w:rPr>
      </w:pPr>
      <w:r>
        <w:rPr>
          <w:rFonts w:hint="eastAsia" w:ascii="仿宋_GB2312" w:hAnsi="仿宋_GB2312" w:eastAsia="仿宋_GB2312" w:cs="楷体_GB2312"/>
          <w:kern w:val="2"/>
          <w:sz w:val="32"/>
          <w:szCs w:val="32"/>
          <w:lang w:val="en-US" w:eastAsia="zh-CN" w:bidi="ar-SA"/>
        </w:rPr>
        <w:t>上述当事人应自收到本处罚决定书之日起15日内，将罚款直接汇交国库。具体缴款方式见本处罚决定书所附说明。同时，须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r>
        <w:rPr>
          <w:rFonts w:hint="eastAsia" w:ascii="仿宋_GB2312" w:hAnsi="仿宋_GB2312" w:eastAsia="仿宋_GB2312" w:cs="Times New Roman"/>
          <w:b w:val="0"/>
          <w:bCs/>
          <w:kern w:val="0"/>
          <w:sz w:val="32"/>
          <w:szCs w:val="32"/>
          <w:lang w:val="en-US" w:eastAsia="zh-CN" w:bidi="ar-SA"/>
        </w:rPr>
        <w:t>。</w:t>
      </w:r>
    </w:p>
    <w:p>
      <w:pPr>
        <w:pStyle w:val="7"/>
        <w:widowControl w:val="0"/>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8</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rPr>
        <w:t>20</w:t>
      </w:r>
      <w:r>
        <w:rPr>
          <w:rFonts w:hint="eastAsia" w:ascii="仿宋_GB2312" w:hAnsi="Times New Roman" w:eastAsia="仿宋_GB2312" w:cs="Times New Roman"/>
          <w:color w:val="000000"/>
          <w:spacing w:val="10"/>
          <w:sz w:val="32"/>
          <w:szCs w:val="32"/>
        </w:rPr>
        <w:t>日</w:t>
      </w:r>
    </w:p>
    <w:bookmarkEnd w:id="0"/>
    <w:p/>
    <w:sectPr>
      <w:headerReference r:id="rId3" w:type="default"/>
      <w:footerReference r:id="rId4" w:type="default"/>
      <w:pgSz w:w="11906" w:h="16838"/>
      <w:pgMar w:top="2097" w:right="1474" w:bottom="1984" w:left="1587"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FDCED"/>
    <w:rsid w:val="67FFD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Times New Roman" w:hAnsi="Times New Roman" w:eastAsia="宋体" w:cs="Times New Roman"/>
      <w:snapToGrid w:val="0"/>
      <w:kern w:val="0"/>
      <w:sz w:val="32"/>
      <w:szCs w:val="32"/>
      <w:lang w:val="en-US" w:eastAsia="zh-CN" w:bidi="ar-SA"/>
    </w:rPr>
  </w:style>
  <w:style w:type="paragraph" w:styleId="3">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bidi="ar-SA"/>
    </w:rPr>
  </w:style>
  <w:style w:type="paragraph" w:customStyle="1" w:styleId="7">
    <w:name w:val="p0"/>
    <w:qFormat/>
    <w:uiPriority w:val="0"/>
    <w:pPr>
      <w:widowControl/>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2025-08-26T09:04:00Z</dcterms:created>
  <dc:creator>user</dc:creator>
  <cp:lastModifiedBy>user</cp:lastModifiedBy>
  <dcterms:modified xsi:type="dcterms:W3CDTF">2025-08-26T09:08:16Z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