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line="300" w:lineRule="auto"/>
        <w:jc w:val="center"/>
        <w:rPr>
          <w:rFonts w:hint="eastAsia" w:ascii="方正小标宋简体" w:hAnsi="方正小标宋简体" w:eastAsia="方正小标宋简体"/>
          <w:color w:val="FF0000"/>
          <w:spacing w:val="12"/>
          <w:w w:val="75"/>
          <w:sz w:val="60"/>
        </w:rPr>
      </w:pPr>
      <w:bookmarkStart w:id="1" w:name="_GoBack"/>
      <w:bookmarkEnd w:id="1"/>
      <w:r>
        <w:rPr>
          <w:rFonts w:hint="eastAsia" w:ascii="方正小标宋简体" w:hAnsi="方正小标宋简体" w:eastAsia="方正小标宋简体"/>
          <w:color w:val="FF0000"/>
          <w:w w:val="75"/>
          <w:sz w:val="60"/>
        </w:rPr>
        <w:t>中国证券监督管理委员会广东监管局</w:t>
      </w:r>
    </w:p>
    <w:p>
      <w:pPr>
        <w:snapToGrid w:val="0"/>
        <w:spacing w:line="300" w:lineRule="auto"/>
        <w:ind w:right="-194"/>
        <w:jc w:val="center"/>
        <w:rPr>
          <w:rFonts w:hint="eastAsia" w:ascii="方正小标宋简体" w:hAnsi="方正小标宋简体" w:eastAsia="方正小标宋简体"/>
          <w:snapToGrid w:val="0"/>
          <w:color w:val="FF0000"/>
          <w:spacing w:val="136"/>
          <w:kern w:val="0"/>
          <w:sz w:val="80"/>
        </w:rPr>
      </w:pPr>
      <w:r>
        <w:rPr>
          <w:rFonts w:hint="eastAsia" w:ascii="方正小标宋简体" w:hAnsi="方正小标宋简体" w:eastAsia="方正小标宋简体"/>
          <w:snapToGrid w:val="0"/>
          <w:color w:val="FF0000"/>
          <w:spacing w:val="136"/>
          <w:kern w:val="0"/>
          <w:sz w:val="80"/>
        </w:rPr>
        <w:t>行政处罚决定书</w:t>
      </w:r>
    </w:p>
    <w:p>
      <w:pPr>
        <w:keepNext w:val="0"/>
        <w:keepLines w:val="0"/>
        <w:pageBreakBefore w:val="0"/>
        <w:widowControl w:val="0"/>
        <w:kinsoku/>
        <w:wordWrap/>
        <w:overflowPunct/>
        <w:topLinePunct w:val="0"/>
        <w:autoSpaceDE/>
        <w:autoSpaceDN/>
        <w:bidi w:val="0"/>
        <w:snapToGrid w:val="0"/>
        <w:spacing w:before="0" w:beforeLines="0" w:after="0" w:afterLines="0" w:line="300" w:lineRule="auto"/>
        <w:ind w:left="0" w:leftChars="0" w:right="0" w:rightChars="0"/>
        <w:jc w:val="center"/>
        <w:textAlignment w:val="auto"/>
        <w:outlineLvl w:val="9"/>
        <w:rPr>
          <w:rFonts w:hint="eastAsia" w:ascii="仿宋_GB2312" w:eastAsia="仿宋_GB2312"/>
          <w:spacing w:val="12"/>
          <w:sz w:val="32"/>
          <w:szCs w:val="32"/>
        </w:rPr>
      </w:pPr>
      <w:bookmarkStart w:id="0" w:name="quanwen"/>
    </w:p>
    <w:p>
      <w:pPr>
        <w:keepNext w:val="0"/>
        <w:keepLines w:val="0"/>
        <w:pageBreakBefore w:val="0"/>
        <w:widowControl w:val="0"/>
        <w:kinsoku/>
        <w:wordWrap/>
        <w:overflowPunct/>
        <w:topLinePunct w:val="0"/>
        <w:autoSpaceDE/>
        <w:autoSpaceDN/>
        <w:bidi w:val="0"/>
        <w:snapToGrid w:val="0"/>
        <w:spacing w:before="0" w:beforeLines="0" w:after="0" w:afterLines="0" w:line="324" w:lineRule="auto"/>
        <w:ind w:left="0" w:leftChars="0" w:right="0" w:rightChars="0"/>
        <w:jc w:val="center"/>
        <w:textAlignment w:val="auto"/>
        <w:outlineLvl w:val="0"/>
        <w:rPr>
          <w:rFonts w:hint="eastAsia" w:ascii="仿宋_GB2312" w:eastAsia="仿宋_GB2312"/>
          <w:spacing w:val="12"/>
          <w:sz w:val="28"/>
        </w:rPr>
      </w:pPr>
      <w:r>
        <w:rPr>
          <w:rFonts w:hint="eastAsia" w:ascii="仿宋_GB2312" w:eastAsia="仿宋_GB2312"/>
          <w:spacing w:val="12"/>
          <w:sz w:val="28"/>
        </w:rPr>
        <w:t>〔20</w:t>
      </w:r>
      <w:r>
        <w:rPr>
          <w:rFonts w:hint="eastAsia" w:ascii="仿宋_GB2312" w:eastAsia="仿宋_GB2312"/>
          <w:spacing w:val="12"/>
          <w:sz w:val="28"/>
          <w:lang w:val="en-US" w:eastAsia="zh-CN"/>
        </w:rPr>
        <w:t>2</w:t>
      </w:r>
      <w:r>
        <w:rPr>
          <w:rFonts w:hint="default" w:ascii="仿宋_GB2312" w:eastAsia="仿宋_GB2312"/>
          <w:spacing w:val="12"/>
          <w:sz w:val="28"/>
          <w:lang w:val="en-US" w:eastAsia="zh-CN"/>
        </w:rPr>
        <w:t>5</w:t>
      </w:r>
      <w:r>
        <w:rPr>
          <w:rFonts w:hint="eastAsia" w:ascii="仿宋_GB2312" w:eastAsia="仿宋_GB2312"/>
          <w:spacing w:val="12"/>
          <w:sz w:val="28"/>
        </w:rPr>
        <w:t>〕</w:t>
      </w:r>
      <w:r>
        <w:rPr>
          <w:rFonts w:hint="default" w:ascii="仿宋_GB2312" w:eastAsia="仿宋_GB2312"/>
          <w:spacing w:val="12"/>
          <w:sz w:val="28"/>
          <w:lang w:val="en-US"/>
        </w:rPr>
        <w:t>11</w:t>
      </w:r>
      <w:r>
        <w:rPr>
          <w:rFonts w:hint="eastAsia" w:ascii="仿宋_GB2312" w:eastAsia="仿宋_GB2312"/>
          <w:spacing w:val="12"/>
          <w:sz w:val="28"/>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392" w:firstLineChars="200"/>
        <w:textAlignment w:val="auto"/>
        <w:outlineLvl w:val="9"/>
        <w:rPr>
          <w:rFonts w:hint="eastAsia" w:ascii="仿宋_GB2312" w:eastAsia="仿宋_GB2312"/>
          <w:spacing w:val="8"/>
          <w:sz w:val="18"/>
          <w:szCs w:val="1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392" w:firstLineChars="200"/>
        <w:textAlignment w:val="auto"/>
        <w:outlineLvl w:val="9"/>
        <w:rPr>
          <w:rFonts w:hint="eastAsia" w:ascii="仿宋_GB2312" w:eastAsia="仿宋_GB2312"/>
          <w:spacing w:val="8"/>
          <w:sz w:val="18"/>
          <w:szCs w:val="18"/>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当事人：宋某明</w:t>
      </w:r>
      <w:r>
        <w:rPr>
          <w:rFonts w:hint="eastAsia" w:ascii="仿宋_GB2312" w:hAnsi="仿宋_GB2312" w:eastAsia="仿宋_GB2312" w:cs="仿宋_GB2312"/>
          <w:b w:val="0"/>
          <w:bCs w:val="0"/>
          <w:color w:val="auto"/>
          <w:sz w:val="32"/>
          <w:szCs w:val="32"/>
          <w:lang w:val="en-US" w:eastAsia="zh-CN"/>
        </w:rPr>
        <w:t>，女，197X年9月出生，住址：山东省青岛市崂山区。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依据《中华人民共和国证券法》（以下简称《证券法》）的有关规定，我局对宋某明</w:t>
      </w:r>
      <w:r>
        <w:rPr>
          <w:rFonts w:hint="eastAsia" w:ascii="仿宋_GB2312" w:hAnsi="仿宋_GB2312" w:eastAsia="仿宋_GB2312" w:cs="仿宋_GB2312"/>
          <w:kern w:val="0"/>
          <w:sz w:val="32"/>
          <w:szCs w:val="32"/>
          <w:lang w:val="en" w:eastAsia="zh-CN" w:bidi="ar-SA"/>
        </w:rPr>
        <w:t>内幕交易</w:t>
      </w:r>
      <w:r>
        <w:rPr>
          <w:rFonts w:hint="eastAsia" w:ascii="仿宋_GB2312" w:hAnsi="仿宋_GB2312" w:eastAsia="仿宋_GB2312" w:cs="仿宋_GB2312"/>
          <w:b w:val="0"/>
          <w:bCs w:val="0"/>
          <w:color w:val="auto"/>
          <w:kern w:val="0"/>
          <w:sz w:val="32"/>
          <w:szCs w:val="32"/>
          <w:lang w:val="en-US" w:eastAsia="zh-CN"/>
        </w:rPr>
        <w:t>广东华铁通达高铁装备股份有限公司（以下简称华铁股份）</w:t>
      </w:r>
      <w:r>
        <w:rPr>
          <w:rFonts w:hint="eastAsia" w:ascii="仿宋_GB2312" w:hAnsi="仿宋_GB2312" w:eastAsia="仿宋_GB2312" w:cs="Times New Roman"/>
          <w:kern w:val="0"/>
          <w:sz w:val="32"/>
          <w:szCs w:val="32"/>
          <w:lang w:val="en-US" w:eastAsia="zh-CN" w:bidi="ar-SA"/>
        </w:rPr>
        <w:t>股票</w:t>
      </w:r>
      <w:r>
        <w:rPr>
          <w:rFonts w:hint="eastAsia" w:ascii="仿宋_GB2312" w:hAnsi="仿宋_GB2312" w:eastAsia="仿宋_GB2312" w:cs="仿宋_GB2312"/>
          <w:kern w:val="0"/>
          <w:sz w:val="32"/>
          <w:szCs w:val="32"/>
          <w:lang w:val="en-US" w:eastAsia="zh-CN" w:bidi="ar-SA"/>
        </w:rPr>
        <w:t>行为进行了立案调查，并依法向当事人告知了作出行政处罚的事实、理由、依据及当事人依法享有的权利。应当事人的要求，我局于2025年6月13日召开听证会，听取了宋某明及其代理人的陈述和申辩。本案现已调查、办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经查明，宋某明存在以下违法事实：</w:t>
      </w:r>
    </w:p>
    <w:p>
      <w:pPr>
        <w:keepNext w:val="0"/>
        <w:keepLines w:val="0"/>
        <w:pageBreakBefore w:val="0"/>
        <w:widowControl w:val="0"/>
        <w:numPr>
          <w:ilvl w:val="0"/>
          <w:numId w:val="0"/>
        </w:numPr>
        <w:tabs>
          <w:tab w:val="left" w:pos="46"/>
        </w:tabs>
        <w:kinsoku/>
        <w:wordWrap/>
        <w:overflowPunct w:val="0"/>
        <w:topLinePunct w:val="0"/>
        <w:autoSpaceDE/>
        <w:autoSpaceDN/>
        <w:bidi w:val="0"/>
        <w:adjustRightInd/>
        <w:snapToGrid w:val="0"/>
        <w:spacing w:before="0" w:beforeLines="0" w:after="0" w:afterLines="0" w:line="336" w:lineRule="auto"/>
        <w:ind w:left="0" w:leftChars="0" w:right="0" w:rightChars="0" w:firstLine="640" w:firstLineChars="200"/>
        <w:jc w:val="both"/>
        <w:textAlignment w:val="auto"/>
        <w:outlineLvl w:val="1"/>
        <w:rPr>
          <w:rFonts w:hint="eastAsia" w:ascii="黑体" w:hAnsi="黑体" w:eastAsia="黑体" w:cs="Times New Roman"/>
          <w:kern w:val="0"/>
          <w:sz w:val="32"/>
          <w:szCs w:val="32"/>
          <w:lang w:val="en-US" w:eastAsia="zh-CN" w:bidi="ar-SA"/>
        </w:rPr>
      </w:pPr>
      <w:r>
        <w:rPr>
          <w:rFonts w:hint="eastAsia" w:ascii="黑体" w:hAnsi="黑体" w:eastAsia="黑体" w:cs="Times New Roman"/>
          <w:kern w:val="0"/>
          <w:sz w:val="32"/>
          <w:szCs w:val="32"/>
          <w:lang w:val="en-US" w:eastAsia="zh-CN" w:bidi="ar-SA"/>
        </w:rPr>
        <w:t>一、内幕信息的形成与公开过程</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left="0" w:leftChars="0" w:right="0" w:rightChars="0" w:firstLine="640" w:firstLineChars="200"/>
        <w:jc w:val="both"/>
        <w:textAlignment w:val="auto"/>
        <w:outlineLvl w:val="1"/>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sz w:val="32"/>
          <w:szCs w:val="32"/>
          <w:lang w:val="en-US" w:eastAsia="zh-CN"/>
        </w:rPr>
        <w:t>2023年</w:t>
      </w:r>
      <w:r>
        <w:rPr>
          <w:rFonts w:hint="eastAsia" w:ascii="仿宋_GB2312" w:hAnsi="仿宋_GB2312" w:eastAsia="仿宋_GB2312" w:cs="仿宋_GB2312"/>
          <w:b w:val="0"/>
          <w:bCs w:val="0"/>
          <w:color w:val="auto"/>
          <w:kern w:val="0"/>
          <w:sz w:val="32"/>
          <w:szCs w:val="32"/>
          <w:lang w:val="en-US" w:eastAsia="zh-CN"/>
        </w:rPr>
        <w:t>2月24日，华铁股份年报审计机构大华会计师事务所（特殊普通合伙）（以下简称</w:t>
      </w:r>
      <w:r>
        <w:rPr>
          <w:rFonts w:hint="eastAsia" w:ascii="仿宋_GB2312" w:hAnsi="仿宋_GB2312" w:eastAsia="仿宋_GB2312" w:cs="仿宋_GB2312"/>
          <w:b w:val="0"/>
          <w:bCs w:val="0"/>
          <w:color w:val="auto"/>
          <w:kern w:val="0"/>
          <w:sz w:val="32"/>
          <w:szCs w:val="32"/>
          <w:highlight w:val="none"/>
          <w:lang w:val="en-US" w:eastAsia="zh-CN"/>
        </w:rPr>
        <w:t>大华所</w:t>
      </w:r>
      <w:r>
        <w:rPr>
          <w:rFonts w:hint="eastAsia" w:ascii="仿宋_GB2312" w:hAnsi="仿宋_GB2312" w:eastAsia="仿宋_GB2312" w:cs="仿宋_GB2312"/>
          <w:b w:val="0"/>
          <w:bCs w:val="0"/>
          <w:color w:val="auto"/>
          <w:kern w:val="0"/>
          <w:sz w:val="32"/>
          <w:szCs w:val="32"/>
          <w:lang w:val="en-US" w:eastAsia="zh-CN"/>
        </w:rPr>
        <w:t>）向华铁股份董事长宣某国、财务总监张某询问资金占用、关联方交易未披露等情况，宣某国承认存在关联方资金占用。</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left="0" w:leftChars="0" w:right="0" w:rightChars="0" w:firstLine="640" w:firstLineChars="200"/>
        <w:jc w:val="both"/>
        <w:textAlignment w:val="auto"/>
        <w:outlineLvl w:val="1"/>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2023年2月24日至3月2日，大华所对资金占用金额进行梳理、统计。</w:t>
      </w:r>
      <w:r>
        <w:rPr>
          <w:rFonts w:hint="eastAsia" w:ascii="仿宋_GB2312" w:hAnsi="仿宋_GB2312" w:eastAsia="仿宋_GB2312" w:cs="仿宋_GB2312"/>
          <w:b w:val="0"/>
          <w:bCs w:val="0"/>
          <w:color w:val="auto"/>
          <w:sz w:val="32"/>
          <w:szCs w:val="32"/>
          <w:lang w:val="en-US" w:eastAsia="zh-CN"/>
        </w:rPr>
        <w:t>3月1日，大华所会计师彭某利与</w:t>
      </w:r>
      <w:r>
        <w:rPr>
          <w:rFonts w:hint="eastAsia" w:ascii="仿宋_GB2312" w:hAnsi="仿宋_GB2312" w:eastAsia="仿宋_GB2312" w:cs="仿宋_GB2312"/>
          <w:b w:val="0"/>
          <w:bCs w:val="0"/>
          <w:color w:val="auto"/>
          <w:kern w:val="0"/>
          <w:sz w:val="32"/>
          <w:szCs w:val="32"/>
          <w:lang w:val="en-US" w:eastAsia="zh-CN"/>
        </w:rPr>
        <w:t>华铁股份</w:t>
      </w:r>
      <w:r>
        <w:rPr>
          <w:rFonts w:hint="eastAsia" w:ascii="仿宋_GB2312" w:hAnsi="仿宋_GB2312" w:eastAsia="仿宋_GB2312" w:cs="仿宋_GB2312"/>
          <w:b w:val="0"/>
          <w:bCs w:val="0"/>
          <w:strike w:val="0"/>
          <w:dstrike w:val="0"/>
          <w:color w:val="auto"/>
          <w:kern w:val="0"/>
          <w:sz w:val="32"/>
          <w:szCs w:val="32"/>
          <w:lang w:val="en-US" w:eastAsia="zh-CN"/>
        </w:rPr>
        <w:t>子公司青岛亚通达铁路设备有限公司（以下简称亚通达设备）总会计师于某</w:t>
      </w:r>
      <w:r>
        <w:rPr>
          <w:rFonts w:hint="eastAsia" w:ascii="仿宋_GB2312" w:hAnsi="仿宋_GB2312" w:eastAsia="仿宋_GB2312" w:cs="仿宋_GB2312"/>
          <w:b w:val="0"/>
          <w:bCs w:val="0"/>
          <w:color w:val="auto"/>
          <w:sz w:val="32"/>
          <w:szCs w:val="32"/>
          <w:lang w:val="en-US" w:eastAsia="zh-CN"/>
        </w:rPr>
        <w:t>沟通资金占用事项，并要求梳理亚通达设备涉及资金占用的合同单据。</w:t>
      </w:r>
      <w:r>
        <w:rPr>
          <w:rFonts w:hint="eastAsia" w:ascii="仿宋_GB2312" w:hAnsi="仿宋_GB2312" w:eastAsia="仿宋_GB2312" w:cs="仿宋_GB2312"/>
          <w:b w:val="0"/>
          <w:bCs w:val="0"/>
          <w:color w:val="auto"/>
          <w:kern w:val="0"/>
          <w:sz w:val="32"/>
          <w:szCs w:val="32"/>
          <w:lang w:val="en-US" w:eastAsia="zh-CN"/>
        </w:rPr>
        <w:t>3月2日，</w:t>
      </w:r>
      <w:r>
        <w:rPr>
          <w:rFonts w:hint="eastAsia" w:ascii="仿宋_GB2312" w:hAnsi="仿宋_GB2312" w:eastAsia="仿宋_GB2312" w:cs="仿宋_GB2312"/>
          <w:b w:val="0"/>
          <w:bCs w:val="0"/>
          <w:color w:val="auto"/>
          <w:kern w:val="0"/>
          <w:sz w:val="32"/>
          <w:szCs w:val="32"/>
          <w:highlight w:val="none"/>
          <w:lang w:val="en-US" w:eastAsia="zh-CN"/>
        </w:rPr>
        <w:t>大华所会计师王某俊联系</w:t>
      </w:r>
      <w:r>
        <w:rPr>
          <w:rFonts w:hint="eastAsia" w:ascii="仿宋_GB2312" w:hAnsi="仿宋_GB2312" w:eastAsia="仿宋_GB2312" w:cs="仿宋_GB2312"/>
          <w:b w:val="0"/>
          <w:bCs w:val="0"/>
          <w:color w:val="auto"/>
          <w:kern w:val="0"/>
          <w:sz w:val="32"/>
          <w:szCs w:val="32"/>
          <w:lang w:val="en-US" w:eastAsia="zh-CN"/>
        </w:rPr>
        <w:t>宣某国、张某，表示由于资金占用金额较大，公司内部控制存在重大缺陷，大华所可能对公司财务报表发表非标准审计意见，对内部控制发表否定意见。</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left="0" w:leftChars="0" w:right="0" w:rightChars="0" w:firstLine="640" w:firstLineChars="200"/>
        <w:jc w:val="both"/>
        <w:textAlignment w:val="auto"/>
        <w:outlineLvl w:val="1"/>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2023年3月2日至3月底，王某俊、彭某利持续与宣某国、张某等人沟通资金占用金额、偿还情况以及资金占用事项对公司审计的影响。</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left="0" w:leftChars="0" w:right="0" w:rightChars="0" w:firstLine="640" w:firstLineChars="200"/>
        <w:jc w:val="both"/>
        <w:textAlignment w:val="auto"/>
        <w:outlineLvl w:val="1"/>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strike w:val="0"/>
          <w:dstrike w:val="0"/>
          <w:color w:val="000000"/>
          <w:kern w:val="0"/>
          <w:sz w:val="32"/>
          <w:szCs w:val="32"/>
          <w:lang w:val="en-US" w:eastAsia="zh-CN"/>
        </w:rPr>
        <w:t>2023年2月至3月，</w:t>
      </w:r>
      <w:r>
        <w:rPr>
          <w:rFonts w:hint="eastAsia" w:ascii="仿宋_GB2312" w:hAnsi="仿宋_GB2312" w:eastAsia="仿宋_GB2312" w:cs="仿宋_GB2312"/>
          <w:b w:val="0"/>
          <w:bCs w:val="0"/>
          <w:color w:val="000000"/>
          <w:kern w:val="0"/>
          <w:sz w:val="32"/>
          <w:szCs w:val="32"/>
          <w:lang w:val="en-US" w:eastAsia="zh-CN"/>
        </w:rPr>
        <w:t>张某</w:t>
      </w:r>
      <w:r>
        <w:rPr>
          <w:rFonts w:hint="eastAsia" w:ascii="仿宋_GB2312" w:hAnsi="仿宋_GB2312" w:eastAsia="仿宋_GB2312" w:cs="仿宋_GB2312"/>
          <w:b w:val="0"/>
          <w:bCs w:val="0"/>
          <w:strike w:val="0"/>
          <w:dstrike w:val="0"/>
          <w:color w:val="000000"/>
          <w:kern w:val="0"/>
          <w:sz w:val="32"/>
          <w:szCs w:val="32"/>
          <w:lang w:val="en-US" w:eastAsia="zh-CN"/>
        </w:rPr>
        <w:t>多次与于某联系，梳理资金占用事项，交流资金占用对公司审计的影响。不晚于3月22日，</w:t>
      </w:r>
      <w:r>
        <w:rPr>
          <w:rFonts w:hint="eastAsia" w:ascii="仿宋_GB2312" w:hAnsi="仿宋_GB2312" w:eastAsia="仿宋_GB2312" w:cs="仿宋_GB2312"/>
          <w:b w:val="0"/>
          <w:bCs w:val="0"/>
          <w:color w:val="000000"/>
          <w:kern w:val="0"/>
          <w:sz w:val="32"/>
          <w:szCs w:val="32"/>
          <w:lang w:val="en-US" w:eastAsia="zh-CN"/>
        </w:rPr>
        <w:t>张某</w:t>
      </w:r>
      <w:r>
        <w:rPr>
          <w:rFonts w:hint="eastAsia" w:ascii="仿宋_GB2312" w:hAnsi="仿宋_GB2312" w:eastAsia="仿宋_GB2312" w:cs="仿宋_GB2312"/>
          <w:b w:val="0"/>
          <w:bCs w:val="0"/>
          <w:strike w:val="0"/>
          <w:dstrike w:val="0"/>
          <w:color w:val="000000"/>
          <w:kern w:val="0"/>
          <w:sz w:val="32"/>
          <w:szCs w:val="32"/>
          <w:lang w:val="en-US" w:eastAsia="zh-CN"/>
        </w:rPr>
        <w:t>将大华所要求公司限期解决资金占用问题，否则影响公司2022年审计意见的情况告知于某。</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left="0" w:leftChars="0" w:right="0" w:rightChars="0" w:firstLine="640" w:firstLineChars="200"/>
        <w:jc w:val="both"/>
        <w:textAlignment w:val="auto"/>
        <w:outlineLvl w:val="1"/>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2023年4月22日，大华所会议研究华铁股份审计报告事项，基本确定对内部控制</w:t>
      </w:r>
      <w:r>
        <w:rPr>
          <w:rFonts w:hint="eastAsia" w:ascii="仿宋_GB2312" w:hAnsi="仿宋_GB2312" w:eastAsia="仿宋_GB2312" w:cs="仿宋_GB2312"/>
          <w:b w:val="0"/>
          <w:bCs w:val="0"/>
          <w:color w:val="auto"/>
          <w:kern w:val="0"/>
          <w:sz w:val="32"/>
          <w:szCs w:val="32"/>
          <w:lang w:val="en-US" w:eastAsia="zh-CN"/>
        </w:rPr>
        <w:t>发表</w:t>
      </w:r>
      <w:r>
        <w:rPr>
          <w:rFonts w:hint="eastAsia" w:ascii="仿宋_GB2312" w:hAnsi="仿宋_GB2312" w:eastAsia="仿宋_GB2312" w:cs="仿宋_GB2312"/>
          <w:b w:val="0"/>
          <w:bCs w:val="0"/>
          <w:color w:val="auto"/>
          <w:sz w:val="32"/>
          <w:szCs w:val="32"/>
          <w:lang w:val="en-US" w:eastAsia="zh-CN"/>
        </w:rPr>
        <w:t>否定意见，并确定将根据宣某国能否在年报披露前归还占用款项，对财务报表</w:t>
      </w:r>
      <w:r>
        <w:rPr>
          <w:rFonts w:hint="eastAsia" w:ascii="仿宋_GB2312" w:hAnsi="仿宋_GB2312" w:eastAsia="仿宋_GB2312" w:cs="仿宋_GB2312"/>
          <w:b w:val="0"/>
          <w:bCs w:val="0"/>
          <w:color w:val="auto"/>
          <w:kern w:val="0"/>
          <w:sz w:val="32"/>
          <w:szCs w:val="32"/>
          <w:lang w:val="en-US" w:eastAsia="zh-CN"/>
        </w:rPr>
        <w:t>发表</w:t>
      </w:r>
      <w:r>
        <w:rPr>
          <w:rFonts w:hint="eastAsia" w:ascii="仿宋_GB2312" w:hAnsi="仿宋_GB2312" w:eastAsia="仿宋_GB2312" w:cs="仿宋_GB2312"/>
          <w:b w:val="0"/>
          <w:bCs w:val="0"/>
          <w:color w:val="auto"/>
          <w:sz w:val="32"/>
          <w:szCs w:val="32"/>
          <w:lang w:val="en-US" w:eastAsia="zh-CN"/>
        </w:rPr>
        <w:t>的审计报告类型。会后，</w:t>
      </w:r>
      <w:r>
        <w:rPr>
          <w:rFonts w:hint="eastAsia" w:ascii="仿宋_GB2312" w:hAnsi="仿宋_GB2312" w:eastAsia="仿宋_GB2312" w:cs="仿宋_GB2312"/>
          <w:b w:val="0"/>
          <w:bCs w:val="0"/>
          <w:color w:val="auto"/>
          <w:sz w:val="32"/>
          <w:szCs w:val="32"/>
          <w:highlight w:val="none"/>
          <w:lang w:val="en-US" w:eastAsia="zh-CN"/>
        </w:rPr>
        <w:t>王某俊、彭某利告知宣某国、张某</w:t>
      </w:r>
      <w:r>
        <w:rPr>
          <w:rFonts w:hint="eastAsia" w:ascii="仿宋_GB2312" w:hAnsi="仿宋_GB2312" w:eastAsia="仿宋_GB2312" w:cs="仿宋_GB2312"/>
          <w:b w:val="0"/>
          <w:bCs w:val="0"/>
          <w:color w:val="auto"/>
          <w:sz w:val="32"/>
          <w:szCs w:val="32"/>
          <w:lang w:val="en-US" w:eastAsia="zh-CN"/>
        </w:rPr>
        <w:t>等人会议情况。</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left="0" w:leftChars="0" w:right="0" w:rightChars="0" w:firstLine="640" w:firstLineChars="200"/>
        <w:jc w:val="both"/>
        <w:textAlignment w:val="auto"/>
        <w:outlineLvl w:val="1"/>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2023年4月26日，</w:t>
      </w:r>
      <w:r>
        <w:rPr>
          <w:rFonts w:hint="default" w:ascii="仿宋_GB2312" w:hAnsi="仿宋_GB2312" w:eastAsia="仿宋_GB2312" w:cs="仿宋_GB2312"/>
          <w:b w:val="0"/>
          <w:bCs w:val="0"/>
          <w:color w:val="auto"/>
          <w:kern w:val="0"/>
          <w:sz w:val="32"/>
          <w:szCs w:val="32"/>
          <w:lang w:val="en" w:eastAsia="zh-CN"/>
        </w:rPr>
        <w:t>王某俊</w:t>
      </w:r>
      <w:r>
        <w:rPr>
          <w:rFonts w:hint="eastAsia" w:ascii="仿宋_GB2312" w:hAnsi="仿宋_GB2312" w:eastAsia="仿宋_GB2312" w:cs="仿宋_GB2312"/>
          <w:b w:val="0"/>
          <w:bCs w:val="0"/>
          <w:color w:val="auto"/>
          <w:kern w:val="0"/>
          <w:sz w:val="32"/>
          <w:szCs w:val="32"/>
          <w:lang w:val="en-US" w:eastAsia="zh-CN"/>
        </w:rPr>
        <w:t>与</w:t>
      </w:r>
      <w:r>
        <w:rPr>
          <w:rFonts w:hint="default" w:ascii="仿宋_GB2312" w:hAnsi="仿宋_GB2312" w:eastAsia="仿宋_GB2312" w:cs="仿宋_GB2312"/>
          <w:b w:val="0"/>
          <w:bCs w:val="0"/>
          <w:color w:val="auto"/>
          <w:kern w:val="0"/>
          <w:sz w:val="32"/>
          <w:szCs w:val="32"/>
          <w:lang w:val="en" w:eastAsia="zh-CN"/>
        </w:rPr>
        <w:t>宣某国</w:t>
      </w:r>
      <w:r>
        <w:rPr>
          <w:rFonts w:hint="eastAsia" w:ascii="仿宋_GB2312" w:hAnsi="仿宋_GB2312" w:eastAsia="仿宋_GB2312" w:cs="仿宋_GB2312"/>
          <w:b w:val="0"/>
          <w:bCs w:val="0"/>
          <w:color w:val="auto"/>
          <w:kern w:val="0"/>
          <w:sz w:val="32"/>
          <w:szCs w:val="32"/>
          <w:lang w:val="en-US" w:eastAsia="zh-CN"/>
        </w:rPr>
        <w:t>联系，</w:t>
      </w:r>
      <w:r>
        <w:rPr>
          <w:rFonts w:hint="default" w:ascii="仿宋_GB2312" w:hAnsi="仿宋_GB2312" w:eastAsia="仿宋_GB2312" w:cs="仿宋_GB2312"/>
          <w:b w:val="0"/>
          <w:bCs w:val="0"/>
          <w:color w:val="auto"/>
          <w:kern w:val="0"/>
          <w:sz w:val="32"/>
          <w:szCs w:val="32"/>
          <w:lang w:val="en" w:eastAsia="zh-CN"/>
        </w:rPr>
        <w:t>宣某国</w:t>
      </w:r>
      <w:r>
        <w:rPr>
          <w:rFonts w:hint="eastAsia" w:ascii="仿宋_GB2312" w:hAnsi="仿宋_GB2312" w:eastAsia="仿宋_GB2312" w:cs="仿宋_GB2312"/>
          <w:b w:val="0"/>
          <w:bCs w:val="0"/>
          <w:color w:val="auto"/>
          <w:kern w:val="0"/>
          <w:sz w:val="32"/>
          <w:szCs w:val="32"/>
          <w:lang w:val="en-US" w:eastAsia="zh-CN"/>
        </w:rPr>
        <w:t>确定无法在年报披露前归还资金占用款，大华所于当晚最终确定对公司内部控制发表否定意见，对财务报表发表保留意见。4月27日，</w:t>
      </w:r>
      <w:r>
        <w:rPr>
          <w:rFonts w:hint="eastAsia" w:ascii="仿宋_GB2312" w:hAnsi="仿宋_GB2312" w:eastAsia="仿宋_GB2312" w:cs="仿宋_GB2312"/>
          <w:b w:val="0"/>
          <w:bCs w:val="0"/>
          <w:color w:val="auto"/>
          <w:kern w:val="0"/>
          <w:sz w:val="32"/>
          <w:szCs w:val="32"/>
          <w:highlight w:val="none"/>
          <w:lang w:val="en-US" w:eastAsia="zh-CN"/>
        </w:rPr>
        <w:t>王某俊、彭某利向华铁股份管理层</w:t>
      </w:r>
      <w:r>
        <w:rPr>
          <w:rFonts w:hint="eastAsia" w:ascii="仿宋_GB2312" w:hAnsi="仿宋_GB2312" w:eastAsia="仿宋_GB2312" w:cs="仿宋_GB2312"/>
          <w:b w:val="0"/>
          <w:bCs w:val="0"/>
          <w:color w:val="auto"/>
          <w:kern w:val="0"/>
          <w:sz w:val="32"/>
          <w:szCs w:val="32"/>
          <w:lang w:val="en-US" w:eastAsia="zh-CN"/>
        </w:rPr>
        <w:t>通报公司最终审计意见。</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left="0" w:leftChars="0" w:right="0" w:rightChars="0" w:firstLine="640" w:firstLineChars="200"/>
        <w:jc w:val="both"/>
        <w:textAlignment w:val="auto"/>
        <w:outlineLvl w:val="1"/>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2023年4月28日下午，大华所正式向华铁股份提交保留意见的财务审计报告、否定意见的内部控制审计报告及相关报告说明。同日下午，华铁股份召开董事会审议。4月28日晚，华铁股份正式披露2022年年度报告、审计报告及相关说明，并发布</w:t>
      </w:r>
      <w:r>
        <w:rPr>
          <w:rFonts w:hint="eastAsia" w:ascii="仿宋_GB2312" w:hAnsi="仿宋_GB2312" w:eastAsia="仿宋_GB2312" w:cs="仿宋_GB2312"/>
          <w:b w:val="0"/>
          <w:bCs w:val="0"/>
          <w:color w:val="auto"/>
          <w:sz w:val="32"/>
          <w:szCs w:val="32"/>
          <w:lang w:val="en-US" w:eastAsia="zh-CN"/>
        </w:rPr>
        <w:t>《关于公司股票交易被实施其他风险警示暨股票停牌的提示性公告》</w:t>
      </w:r>
      <w:r>
        <w:rPr>
          <w:rFonts w:hint="eastAsia" w:ascii="仿宋_GB2312" w:hAnsi="仿宋_GB2312" w:eastAsia="仿宋_GB2312" w:cs="仿宋_GB2312"/>
          <w:b w:val="0"/>
          <w:bCs w:val="0"/>
          <w:color w:val="auto"/>
          <w:kern w:val="0"/>
          <w:sz w:val="32"/>
          <w:szCs w:val="32"/>
          <w:lang w:val="en-US" w:eastAsia="zh-CN"/>
        </w:rPr>
        <w:t>。公告称，截至2022年12月31日，公司控股股东及其他关联方存在非经营性资金占用本金余额为126,385.48万元，截至2023年4月20日，累计占用利息9,057.27万元，合计135,442.75万元。公司最近一年的内部控制审计报告被出具否定意见，公司股票将被深圳证券交易所实施其他风险警示。</w:t>
      </w:r>
    </w:p>
    <w:p>
      <w:pPr>
        <w:keepNext w:val="0"/>
        <w:keepLines w:val="0"/>
        <w:pageBreakBefore w:val="0"/>
        <w:widowControl w:val="0"/>
        <w:kinsoku/>
        <w:wordWrap/>
        <w:overflowPunct w:val="0"/>
        <w:topLinePunct w:val="0"/>
        <w:autoSpaceDE/>
        <w:autoSpaceDN/>
        <w:bidi w:val="0"/>
        <w:adjustRightInd/>
        <w:snapToGrid w:val="0"/>
        <w:spacing w:beforeLines="0" w:afterLines="0" w:line="336" w:lineRule="auto"/>
        <w:ind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综上</w:t>
      </w:r>
      <w:r>
        <w:rPr>
          <w:rFonts w:hint="eastAsia" w:ascii="仿宋_GB2312" w:hAnsi="仿宋_GB2312" w:eastAsia="仿宋_GB2312" w:cs="仿宋_GB2312"/>
          <w:b w:val="0"/>
          <w:bCs w:val="0"/>
          <w:color w:val="auto"/>
          <w:kern w:val="0"/>
          <w:sz w:val="32"/>
          <w:szCs w:val="32"/>
          <w:lang w:val="en-US" w:eastAsia="zh-CN" w:bidi="ar-SA"/>
        </w:rPr>
        <w:t>，华铁股份因公司存在资金占用且情形严重，被审计机构出具否定意见的内部控制审计报告，</w:t>
      </w:r>
      <w:r>
        <w:rPr>
          <w:rFonts w:hint="eastAsia" w:ascii="仿宋_GB2312" w:hAnsi="仿宋_GB2312" w:eastAsia="仿宋_GB2312" w:cs="仿宋_GB2312"/>
          <w:b w:val="0"/>
          <w:bCs w:val="0"/>
          <w:color w:val="auto"/>
          <w:kern w:val="0"/>
          <w:sz w:val="32"/>
          <w:szCs w:val="32"/>
          <w:highlight w:val="none"/>
          <w:lang w:val="en-US" w:eastAsia="zh-CN" w:bidi="ar-SA"/>
        </w:rPr>
        <w:t>导致</w:t>
      </w:r>
      <w:r>
        <w:rPr>
          <w:rFonts w:hint="eastAsia" w:ascii="仿宋_GB2312" w:hAnsi="仿宋_GB2312" w:eastAsia="仿宋_GB2312" w:cs="仿宋_GB2312"/>
          <w:b w:val="0"/>
          <w:bCs w:val="0"/>
          <w:color w:val="auto"/>
          <w:kern w:val="0"/>
          <w:sz w:val="32"/>
          <w:szCs w:val="32"/>
          <w:lang w:val="en-US" w:eastAsia="zh-CN" w:bidi="ar-SA"/>
        </w:rPr>
        <w:t>公司股票被实施其他风险警示的事项，是</w:t>
      </w:r>
      <w:r>
        <w:rPr>
          <w:rFonts w:hint="eastAsia" w:ascii="仿宋_GB2312" w:hAnsi="仿宋_GB2312" w:eastAsia="仿宋_GB2312" w:cs="仿宋_GB2312"/>
          <w:color w:val="auto"/>
          <w:spacing w:val="-6"/>
          <w:sz w:val="32"/>
          <w:szCs w:val="32"/>
          <w:lang w:val="en-US" w:eastAsia="zh-CN"/>
        </w:rPr>
        <w:t>《深圳证券交易所股票上市规则》（2023年2月修订）第</w:t>
      </w:r>
      <w:r>
        <w:rPr>
          <w:rFonts w:hint="eastAsia" w:ascii="仿宋_GB2312" w:hAnsi="仿宋_GB2312" w:eastAsia="仿宋_GB2312" w:cs="仿宋_GB2312"/>
          <w:color w:val="auto"/>
          <w:spacing w:val="-6"/>
          <w:sz w:val="32"/>
          <w:szCs w:val="32"/>
          <w:highlight w:val="none"/>
          <w:lang w:val="en-US" w:eastAsia="zh-CN"/>
        </w:rPr>
        <w:t>9.1.5条、</w:t>
      </w:r>
      <w:r>
        <w:rPr>
          <w:rFonts w:hint="eastAsia" w:ascii="仿宋_GB2312" w:hAnsi="仿宋_GB2312" w:eastAsia="仿宋_GB2312" w:cs="仿宋_GB2312"/>
          <w:color w:val="auto"/>
          <w:spacing w:val="-6"/>
          <w:sz w:val="32"/>
          <w:szCs w:val="32"/>
          <w:lang w:val="en-US" w:eastAsia="zh-CN"/>
        </w:rPr>
        <w:t>第9.8.1条第一项和第四项</w:t>
      </w:r>
      <w:r>
        <w:rPr>
          <w:rFonts w:hint="eastAsia" w:ascii="仿宋_GB2312" w:hAnsi="仿宋_GB2312" w:eastAsia="仿宋_GB2312" w:cs="仿宋_GB2312"/>
          <w:color w:val="auto"/>
          <w:spacing w:val="-6"/>
          <w:sz w:val="32"/>
          <w:szCs w:val="32"/>
          <w:highlight w:val="none"/>
          <w:lang w:val="en-US" w:eastAsia="zh-CN"/>
        </w:rPr>
        <w:t>、第9.8.2条第一款</w:t>
      </w:r>
      <w:r>
        <w:rPr>
          <w:rFonts w:hint="eastAsia" w:ascii="仿宋_GB2312" w:hAnsi="仿宋_GB2312" w:eastAsia="仿宋_GB2312" w:cs="仿宋_GB2312"/>
          <w:color w:val="auto"/>
          <w:spacing w:val="-6"/>
          <w:sz w:val="32"/>
          <w:szCs w:val="32"/>
          <w:lang w:val="en-US" w:eastAsia="zh-CN"/>
        </w:rPr>
        <w:t>规定的应当披露的信息，对公司股票价格有重大影响。</w:t>
      </w:r>
      <w:r>
        <w:rPr>
          <w:rFonts w:hint="eastAsia" w:ascii="仿宋_GB2312" w:hAnsi="仿宋_GB2312" w:eastAsia="仿宋_GB2312" w:cs="仿宋_GB2312"/>
          <w:b w:val="0"/>
          <w:bCs w:val="0"/>
          <w:color w:val="auto"/>
          <w:sz w:val="32"/>
          <w:szCs w:val="32"/>
          <w:lang w:val="en-US" w:eastAsia="zh-CN"/>
        </w:rPr>
        <w:t>该信息公告后公司股价自2023年5月5日至5月19日连续11个交易日跌停，累计下跌43.11%，同期深证成指下跌1.62%。因此，该信息</w:t>
      </w:r>
      <w:r>
        <w:rPr>
          <w:rFonts w:hint="eastAsia" w:ascii="仿宋_GB2312" w:hAnsi="仿宋_GB2312" w:eastAsia="仿宋_GB2312" w:cs="仿宋_GB2312"/>
          <w:kern w:val="0"/>
          <w:sz w:val="32"/>
          <w:szCs w:val="32"/>
          <w:lang w:val="en-US" w:eastAsia="zh-CN" w:bidi="ar-SA"/>
        </w:rPr>
        <w:t>在依法公开前属于《证券法》第五十二条第一款规定的内幕信息。</w:t>
      </w:r>
      <w:r>
        <w:rPr>
          <w:rFonts w:hint="eastAsia" w:ascii="仿宋_GB2312" w:hAnsi="仿宋_GB2312" w:eastAsia="仿宋_GB2312" w:cs="仿宋_GB2312"/>
          <w:kern w:val="0"/>
          <w:sz w:val="32"/>
          <w:szCs w:val="32"/>
          <w:highlight w:val="none"/>
          <w:lang w:val="en" w:eastAsia="zh-CN" w:bidi="ar-SA"/>
        </w:rPr>
        <w:t>内幕信息敏感期为202</w:t>
      </w:r>
      <w:r>
        <w:rPr>
          <w:rFonts w:hint="eastAsia" w:ascii="仿宋_GB2312" w:hAnsi="仿宋_GB2312" w:eastAsia="仿宋_GB2312" w:cs="仿宋_GB2312"/>
          <w:kern w:val="0"/>
          <w:sz w:val="32"/>
          <w:szCs w:val="32"/>
          <w:highlight w:val="none"/>
          <w:lang w:val="en-US" w:eastAsia="zh-CN" w:bidi="ar-SA"/>
        </w:rPr>
        <w:t>3</w:t>
      </w:r>
      <w:r>
        <w:rPr>
          <w:rFonts w:hint="eastAsia" w:ascii="仿宋_GB2312" w:hAnsi="仿宋_GB2312" w:eastAsia="仿宋_GB2312" w:cs="仿宋_GB2312"/>
          <w:kern w:val="0"/>
          <w:sz w:val="32"/>
          <w:szCs w:val="32"/>
          <w:highlight w:val="none"/>
          <w:lang w:val="en" w:eastAsia="zh-CN" w:bidi="ar-SA"/>
        </w:rPr>
        <w:t>年</w:t>
      </w:r>
      <w:r>
        <w:rPr>
          <w:rFonts w:hint="eastAsia" w:ascii="仿宋_GB2312" w:hAnsi="仿宋_GB2312" w:eastAsia="仿宋_GB2312" w:cs="仿宋_GB2312"/>
          <w:kern w:val="0"/>
          <w:sz w:val="32"/>
          <w:szCs w:val="32"/>
          <w:highlight w:val="none"/>
          <w:lang w:val="en-US" w:eastAsia="zh-CN" w:bidi="ar-SA"/>
        </w:rPr>
        <w:t>3</w:t>
      </w:r>
      <w:r>
        <w:rPr>
          <w:rFonts w:hint="eastAsia" w:ascii="仿宋_GB2312" w:hAnsi="仿宋_GB2312" w:eastAsia="仿宋_GB2312" w:cs="仿宋_GB2312"/>
          <w:kern w:val="0"/>
          <w:sz w:val="32"/>
          <w:szCs w:val="32"/>
          <w:highlight w:val="none"/>
          <w:lang w:val="en" w:eastAsia="zh-CN" w:bidi="ar-SA"/>
        </w:rPr>
        <w:t>月</w:t>
      </w:r>
      <w:r>
        <w:rPr>
          <w:rFonts w:hint="eastAsia"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0"/>
          <w:sz w:val="32"/>
          <w:szCs w:val="32"/>
          <w:highlight w:val="none"/>
          <w:lang w:val="en" w:eastAsia="zh-CN" w:bidi="ar-SA"/>
        </w:rPr>
        <w:t>日至</w:t>
      </w:r>
      <w:r>
        <w:rPr>
          <w:rFonts w:hint="eastAsia" w:ascii="仿宋_GB2312" w:hAnsi="仿宋_GB2312" w:eastAsia="仿宋_GB2312" w:cs="仿宋_GB2312"/>
          <w:kern w:val="0"/>
          <w:sz w:val="32"/>
          <w:szCs w:val="32"/>
          <w:highlight w:val="none"/>
          <w:lang w:val="en-US" w:eastAsia="zh-CN" w:bidi="ar-SA"/>
        </w:rPr>
        <w:t>4月28</w:t>
      </w:r>
      <w:r>
        <w:rPr>
          <w:rFonts w:hint="eastAsia" w:ascii="仿宋_GB2312" w:hAnsi="仿宋_GB2312" w:eastAsia="仿宋_GB2312" w:cs="仿宋_GB2312"/>
          <w:kern w:val="0"/>
          <w:sz w:val="32"/>
          <w:szCs w:val="32"/>
          <w:highlight w:val="none"/>
          <w:lang w:val="en" w:eastAsia="zh-CN" w:bidi="ar-SA"/>
        </w:rPr>
        <w:t>日，宣</w:t>
      </w:r>
      <w:r>
        <w:rPr>
          <w:rFonts w:hint="eastAsia" w:ascii="仿宋_GB2312" w:hAnsi="仿宋_GB2312" w:eastAsia="仿宋_GB2312" w:cs="仿宋_GB2312"/>
          <w:b w:val="0"/>
          <w:bCs w:val="0"/>
          <w:color w:val="auto"/>
          <w:kern w:val="0"/>
          <w:sz w:val="32"/>
          <w:szCs w:val="32"/>
          <w:highlight w:val="none"/>
          <w:lang w:val="en-US" w:eastAsia="zh-CN"/>
        </w:rPr>
        <w:t>某</w:t>
      </w:r>
      <w:r>
        <w:rPr>
          <w:rFonts w:hint="eastAsia" w:ascii="仿宋_GB2312" w:hAnsi="仿宋_GB2312" w:eastAsia="仿宋_GB2312" w:cs="仿宋_GB2312"/>
          <w:kern w:val="0"/>
          <w:sz w:val="32"/>
          <w:szCs w:val="32"/>
          <w:highlight w:val="none"/>
          <w:lang w:val="en" w:eastAsia="zh-CN" w:bidi="ar-SA"/>
        </w:rPr>
        <w:t>国、张</w:t>
      </w:r>
      <w:r>
        <w:rPr>
          <w:rFonts w:hint="eastAsia" w:ascii="仿宋_GB2312" w:hAnsi="仿宋_GB2312" w:eastAsia="仿宋_GB2312" w:cs="仿宋_GB2312"/>
          <w:b w:val="0"/>
          <w:bCs w:val="0"/>
          <w:color w:val="auto"/>
          <w:kern w:val="0"/>
          <w:sz w:val="32"/>
          <w:szCs w:val="32"/>
          <w:highlight w:val="none"/>
          <w:lang w:val="en-US" w:eastAsia="zh-CN"/>
        </w:rPr>
        <w:t>某为内幕信息知情人，知悉时间不晚于2023年3月2日，</w:t>
      </w:r>
      <w:r>
        <w:rPr>
          <w:rFonts w:hint="eastAsia" w:ascii="仿宋_GB2312" w:hAnsi="仿宋_GB2312" w:eastAsia="仿宋_GB2312" w:cs="仿宋_GB2312"/>
          <w:color w:val="auto"/>
          <w:kern w:val="0"/>
          <w:sz w:val="32"/>
          <w:szCs w:val="32"/>
          <w:highlight w:val="none"/>
          <w:lang w:val="en" w:eastAsia="zh-CN" w:bidi="ar-SA"/>
        </w:rPr>
        <w:t>于</w:t>
      </w:r>
      <w:r>
        <w:rPr>
          <w:rFonts w:hint="eastAsia" w:ascii="仿宋_GB2312" w:hAnsi="仿宋_GB2312" w:eastAsia="仿宋_GB2312" w:cs="仿宋_GB2312"/>
          <w:b w:val="0"/>
          <w:bCs w:val="0"/>
          <w:color w:val="auto"/>
          <w:kern w:val="0"/>
          <w:sz w:val="32"/>
          <w:szCs w:val="32"/>
          <w:highlight w:val="none"/>
          <w:lang w:val="en-US" w:eastAsia="zh-CN"/>
        </w:rPr>
        <w:t>某为内幕信息知情人，知悉时间不晚于2023年3月22日。</w:t>
      </w:r>
    </w:p>
    <w:p>
      <w:pPr>
        <w:keepNext w:val="0"/>
        <w:keepLines w:val="0"/>
        <w:pageBreakBefore w:val="0"/>
        <w:widowControl w:val="0"/>
        <w:numPr>
          <w:ilvl w:val="0"/>
          <w:numId w:val="0"/>
        </w:numPr>
        <w:tabs>
          <w:tab w:val="left" w:pos="46"/>
        </w:tabs>
        <w:kinsoku/>
        <w:wordWrap/>
        <w:overflowPunct w:val="0"/>
        <w:topLinePunct w:val="0"/>
        <w:autoSpaceDE/>
        <w:autoSpaceDN/>
        <w:bidi w:val="0"/>
        <w:adjustRightInd/>
        <w:snapToGrid w:val="0"/>
        <w:spacing w:before="0" w:beforeLines="0" w:after="0" w:afterLines="0" w:line="336" w:lineRule="auto"/>
        <w:ind w:left="0" w:leftChars="0" w:right="0" w:rightChars="0" w:firstLine="640" w:firstLineChars="200"/>
        <w:jc w:val="both"/>
        <w:textAlignment w:val="auto"/>
        <w:outlineLvl w:val="1"/>
        <w:rPr>
          <w:rFonts w:hint="eastAsia" w:ascii="黑体" w:hAnsi="黑体" w:eastAsia="黑体" w:cs="黑体"/>
          <w:kern w:val="0"/>
          <w:sz w:val="32"/>
          <w:szCs w:val="32"/>
          <w:lang w:val="en" w:eastAsia="zh-CN" w:bidi="ar-SA"/>
        </w:rPr>
      </w:pPr>
      <w:r>
        <w:rPr>
          <w:rFonts w:hint="eastAsia" w:ascii="黑体" w:hAnsi="黑体" w:eastAsia="黑体" w:cs="黑体"/>
          <w:kern w:val="0"/>
          <w:sz w:val="32"/>
          <w:szCs w:val="32"/>
          <w:lang w:val="en" w:eastAsia="zh-CN" w:bidi="ar-SA"/>
        </w:rPr>
        <w:t>二、宋某明内幕交易华铁股份股票</w:t>
      </w:r>
      <w:r>
        <w:rPr>
          <w:rFonts w:hint="eastAsia" w:ascii="黑体" w:hAnsi="黑体" w:eastAsia="黑体" w:cs="黑体"/>
          <w:kern w:val="0"/>
          <w:sz w:val="32"/>
          <w:szCs w:val="32"/>
          <w:lang w:val="en-US" w:eastAsia="zh-CN" w:bidi="ar-SA"/>
        </w:rPr>
        <w:t>情况</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left="0" w:leftChars="0" w:right="0" w:rightChars="0" w:firstLine="640" w:firstLineChars="200"/>
        <w:jc w:val="both"/>
        <w:textAlignment w:val="auto"/>
        <w:outlineLvl w:val="1"/>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宋某明是亚通达设备董事、业务副总经理，与于某作为多年同事，在工作和生活中联系频繁，关系密切。内幕信息敏感期内，宋某明与宣某国、于某存在联络接触，其控制、使用“宋某明”平安证券账户，于2023年3月29日、3月31日合计卖出“华铁股份”100,900股，卖出成交金额381,905元。其卖出“华铁股份”时点尤其与于某的通话联络时点前后相序、高度一致，交易明显异常，且无正当理由或正当信息来源。</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left="0" w:leftChars="0" w:right="0" w:rightChars="0" w:firstLine="640" w:firstLineChars="200"/>
        <w:jc w:val="both"/>
        <w:textAlignment w:val="auto"/>
        <w:outlineLvl w:val="1"/>
        <w:rPr>
          <w:rFonts w:hint="eastAsia"/>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经测算，该账户内幕信息敏感期内交易“华铁股份”避损179,888.87元。</w:t>
      </w:r>
    </w:p>
    <w:p>
      <w:pPr>
        <w:keepNext w:val="0"/>
        <w:keepLines w:val="0"/>
        <w:pageBreakBefore w:val="0"/>
        <w:widowControl w:val="0"/>
        <w:kinsoku/>
        <w:wordWrap/>
        <w:overflowPunct w:val="0"/>
        <w:topLinePunct w:val="0"/>
        <w:autoSpaceDE/>
        <w:autoSpaceDN/>
        <w:bidi w:val="0"/>
        <w:adjustRightInd/>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上述违法事实，有相关公司公告、情况说明、通话记录、相关人员询问笔录、银行及证券账户资料等证据证明，</w:t>
      </w:r>
      <w:r>
        <w:rPr>
          <w:rFonts w:hint="eastAsia" w:ascii="仿宋_GB2312" w:hAnsi="仿宋_GB2312" w:eastAsia="仿宋_GB2312" w:cs="Times New Roman"/>
          <w:color w:val="000000"/>
          <w:kern w:val="0"/>
          <w:sz w:val="32"/>
          <w:szCs w:val="32"/>
          <w:lang w:val="en-US" w:eastAsia="zh-CN" w:bidi="ar-SA"/>
        </w:rPr>
        <w:t>足以认定</w:t>
      </w:r>
      <w:r>
        <w:rPr>
          <w:rFonts w:hint="eastAsia" w:ascii="仿宋_GB2312" w:hAnsi="仿宋_GB2312" w:eastAsia="仿宋_GB2312" w:cs="Times New Roman"/>
          <w:kern w:val="0"/>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我局认为，宋某明的上述行为违反《证券法》第五十条、第五十三条第一款的规定，构成《证券法》第一百九十一条第一款所述的内幕交易行为。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宋某明及其代理人在申辩材料和听证过程中提出：</w:t>
      </w:r>
    </w:p>
    <w:p>
      <w:pPr>
        <w:overflowPunct w:val="0"/>
        <w:snapToGrid w:val="0"/>
        <w:spacing w:beforeLines="0" w:afterLines="0" w:line="336" w:lineRule="auto"/>
        <w:ind w:firstLine="640" w:firstLineChars="200"/>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其一，内幕信息敏感期起点应为2023年4月22日，</w:t>
      </w:r>
      <w:r>
        <w:rPr>
          <w:rFonts w:hint="eastAsia" w:ascii="仿宋_GB2312" w:hAnsi="仿宋" w:eastAsia="仿宋_GB2312" w:cs="仿宋"/>
          <w:bCs/>
          <w:color w:val="auto"/>
          <w:sz w:val="32"/>
          <w:szCs w:val="32"/>
          <w:highlight w:val="none"/>
          <w:lang w:eastAsia="zh-CN"/>
        </w:rPr>
        <w:t>或其他较为确定的审计机构将出具非标准审计意见的日期，宋某明</w:t>
      </w:r>
      <w:r>
        <w:rPr>
          <w:rFonts w:hint="eastAsia" w:ascii="仿宋_GB2312" w:hAnsi="仿宋" w:eastAsia="仿宋_GB2312" w:cs="仿宋"/>
          <w:bCs/>
          <w:color w:val="auto"/>
          <w:sz w:val="32"/>
          <w:szCs w:val="32"/>
          <w:lang w:eastAsia="zh-CN"/>
        </w:rPr>
        <w:t>卖出股票时，审计机构还不确定是否出具非标准审计意见。</w:t>
      </w:r>
    </w:p>
    <w:p>
      <w:pPr>
        <w:overflowPunct w:val="0"/>
        <w:snapToGrid w:val="0"/>
        <w:spacing w:beforeLines="0" w:afterLines="0" w:line="336" w:lineRule="auto"/>
        <w:ind w:firstLine="640" w:firstLineChars="200"/>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其二，宋某明卖出股票前不知悉内幕信息，无实施内幕交易的主观故意，相关交易不应被认定为内幕交易。其卖出股票是为了给孩子缴纳留学相关费用。</w:t>
      </w:r>
    </w:p>
    <w:p>
      <w:pPr>
        <w:overflowPunct w:val="0"/>
        <w:snapToGrid w:val="0"/>
        <w:spacing w:beforeLines="0" w:afterLines="0" w:line="336" w:lineRule="auto"/>
        <w:ind w:firstLine="640" w:firstLineChars="200"/>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其三，即便认定宋某明构成内幕交易，其系非法获取内幕信息的人而非内幕信息知情人，系初犯、偶犯，当初系非自愿买入股票，本次卖出股票实际亏损，持股比例和交易金额都极小，危害后果较小，其经济状况无法承受高额罚款，应予减轻或从轻处罚。</w:t>
      </w:r>
    </w:p>
    <w:p>
      <w:pPr>
        <w:overflowPunct w:val="0"/>
        <w:snapToGrid w:val="0"/>
        <w:spacing w:beforeLines="0" w:afterLines="0" w:line="336" w:lineRule="auto"/>
        <w:ind w:firstLine="640" w:firstLineChars="200"/>
        <w:rPr>
          <w:rFonts w:hint="default"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综上，宋某明请求从轻、减轻处罚。</w:t>
      </w:r>
    </w:p>
    <w:p>
      <w:pPr>
        <w:overflowPunct w:val="0"/>
        <w:snapToGrid w:val="0"/>
        <w:spacing w:beforeLines="0" w:afterLines="0" w:line="336" w:lineRule="auto"/>
        <w:ind w:firstLine="640" w:firstLineChars="200"/>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经复核，我局认为，第一，2023年3月2日，大华所根据资金占用梳理情况，联系华铁股份管理层，首次表示可能会</w:t>
      </w:r>
      <w:r>
        <w:rPr>
          <w:rFonts w:hint="eastAsia" w:ascii="仿宋_GB2312" w:hAnsi="仿宋_GB2312" w:eastAsia="仿宋_GB2312" w:cs="仿宋_GB2312"/>
          <w:b w:val="0"/>
          <w:bCs w:val="0"/>
          <w:color w:val="auto"/>
          <w:kern w:val="0"/>
          <w:sz w:val="32"/>
          <w:szCs w:val="32"/>
          <w:lang w:val="en-US" w:eastAsia="zh-CN"/>
        </w:rPr>
        <w:t>对公司财务报表发表非标准审计意见，对内部控制发表否定意见</w:t>
      </w:r>
      <w:r>
        <w:rPr>
          <w:rFonts w:hint="eastAsia" w:ascii="仿宋_GB2312" w:hAnsi="仿宋_GB2312" w:eastAsia="仿宋_GB2312" w:cs="仿宋_GB2312"/>
          <w:b w:val="0"/>
          <w:bCs w:val="0"/>
          <w:color w:val="auto"/>
          <w:kern w:val="0"/>
          <w:sz w:val="32"/>
          <w:szCs w:val="32"/>
          <w:lang w:val="en-US" w:eastAsia="zh-CN" w:bidi="ar-SA"/>
        </w:rPr>
        <w:t>。</w:t>
      </w:r>
      <w:r>
        <w:rPr>
          <w:rFonts w:hint="eastAsia" w:ascii="仿宋_GB2312" w:hAnsi="仿宋_GB2312" w:eastAsia="仿宋_GB2312" w:cs="仿宋_GB2312"/>
          <w:b w:val="0"/>
          <w:bCs w:val="0"/>
          <w:color w:val="auto"/>
          <w:kern w:val="0"/>
          <w:sz w:val="32"/>
          <w:szCs w:val="32"/>
          <w:highlight w:val="none"/>
          <w:lang w:val="en-US" w:eastAsia="zh-CN" w:bidi="ar-SA"/>
        </w:rPr>
        <w:t>参照《最高人民法院、最高人民检察院关于办理内幕交易、泄露内幕信息刑事案件具体应用法律若干问题的解释》（法释〔2012〕6号）第五条第三款的规定，</w:t>
      </w:r>
      <w:r>
        <w:rPr>
          <w:rFonts w:hint="eastAsia" w:ascii="仿宋_GB2312" w:hAnsi="仿宋_GB2312" w:eastAsia="仿宋_GB2312" w:cs="仿宋_GB2312"/>
          <w:b w:val="0"/>
          <w:bCs w:val="0"/>
          <w:color w:val="auto"/>
          <w:kern w:val="0"/>
          <w:sz w:val="32"/>
          <w:szCs w:val="32"/>
          <w:lang w:val="en-US" w:eastAsia="zh-CN" w:bidi="ar-SA"/>
        </w:rPr>
        <w:t>影响内幕信息形成的动议、筹划、决策或者执行人员，其动议、筹划、决策或者执行初始时间，应当认定为内幕信息的形成之时。2023年3月2日为内幕信息敏感期起点认定无误。</w:t>
      </w:r>
    </w:p>
    <w:p>
      <w:pPr>
        <w:overflowPunct w:val="0"/>
        <w:snapToGrid w:val="0"/>
        <w:spacing w:beforeLines="0" w:afterLines="0" w:line="336" w:lineRule="auto"/>
        <w:ind w:firstLine="640" w:firstLineChars="200"/>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 w:eastAsia="仿宋_GB2312" w:cs="仿宋"/>
          <w:b w:val="0"/>
          <w:bCs/>
          <w:color w:val="auto"/>
          <w:sz w:val="32"/>
          <w:szCs w:val="32"/>
          <w:highlight w:val="none"/>
          <w:lang w:eastAsia="zh-CN"/>
        </w:rPr>
        <w:t>第二，在内幕信息敏感期内，宋某明与内幕信息知情人员宣某国、于某联络、接触，从事与该内幕信息有关的证券交易，相关交易行为明显异常，且无正当理由或者正当信息来源。其提出为孩子缴纳留学费用，不是内幕交易的法定阻却事由。</w:t>
      </w:r>
    </w:p>
    <w:p>
      <w:pPr>
        <w:overflowPunct w:val="0"/>
        <w:snapToGrid w:val="0"/>
        <w:spacing w:beforeLines="0" w:afterLines="0" w:line="336" w:lineRule="auto"/>
        <w:ind w:firstLine="640" w:firstLineChars="200"/>
        <w:rPr>
          <w:rFonts w:hint="eastAsia" w:ascii="仿宋_GB2312" w:hAnsi="仿宋" w:eastAsia="仿宋_GB2312" w:cs="仿宋"/>
          <w:bCs/>
          <w:color w:val="auto"/>
          <w:sz w:val="32"/>
          <w:szCs w:val="32"/>
          <w:lang w:val="en-US" w:eastAsia="zh-CN"/>
        </w:rPr>
      </w:pPr>
      <w:r>
        <w:rPr>
          <w:rFonts w:hint="eastAsia" w:ascii="仿宋_GB2312" w:hAnsi="仿宋" w:eastAsia="仿宋_GB2312" w:cs="仿宋"/>
          <w:bCs/>
          <w:color w:val="auto"/>
          <w:sz w:val="32"/>
          <w:szCs w:val="32"/>
          <w:lang w:val="en-US" w:eastAsia="zh-CN"/>
        </w:rPr>
        <w:t>第三，</w:t>
      </w:r>
      <w:r>
        <w:rPr>
          <w:rFonts w:hint="default" w:ascii="仿宋_GB2312" w:hAnsi="仿宋_GB2312" w:eastAsia="仿宋_GB2312" w:cs="仿宋_GB2312"/>
          <w:color w:val="auto"/>
          <w:sz w:val="32"/>
          <w:szCs w:val="32"/>
          <w:lang w:val="en-US" w:eastAsia="zh-CN"/>
        </w:rPr>
        <w:t>本案量罚</w:t>
      </w:r>
      <w:r>
        <w:rPr>
          <w:rFonts w:hint="eastAsia" w:ascii="仿宋_GB2312" w:hAnsi="仿宋_GB2312" w:eastAsia="仿宋_GB2312" w:cs="仿宋_GB2312"/>
          <w:color w:val="auto"/>
          <w:sz w:val="32"/>
          <w:szCs w:val="32"/>
          <w:lang w:val="en-US" w:eastAsia="zh-CN"/>
        </w:rPr>
        <w:t>已考虑</w:t>
      </w:r>
      <w:r>
        <w:rPr>
          <w:rFonts w:hint="default" w:ascii="仿宋_GB2312" w:hAnsi="仿宋_GB2312" w:eastAsia="仿宋_GB2312" w:cs="仿宋_GB2312"/>
          <w:color w:val="auto"/>
          <w:sz w:val="32"/>
          <w:szCs w:val="32"/>
          <w:lang w:val="en-US" w:eastAsia="zh-CN"/>
        </w:rPr>
        <w:t>违法行为的事实、性质、情节及社会危害程度</w:t>
      </w:r>
      <w:r>
        <w:rPr>
          <w:rFonts w:hint="eastAsia" w:ascii="仿宋_GB2312" w:hAnsi="仿宋_GB2312" w:eastAsia="仿宋_GB2312" w:cs="仿宋_GB2312"/>
          <w:b w:val="0"/>
          <w:bCs w:val="0"/>
          <w:color w:val="auto"/>
          <w:kern w:val="0"/>
          <w:sz w:val="32"/>
          <w:szCs w:val="32"/>
          <w:lang w:val="en-US" w:eastAsia="zh-CN"/>
        </w:rPr>
        <w:t>，量罚适当。与买入股票投入资金相比亏损、经济状况不佳等事由也不是法定从轻或减轻处罚的理由。</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b w:val="0"/>
          <w:bCs/>
          <w:sz w:val="32"/>
          <w:szCs w:val="32"/>
          <w:lang w:val="en-US" w:eastAsia="zh-CN"/>
        </w:rPr>
      </w:pPr>
      <w:r>
        <w:rPr>
          <w:rFonts w:hint="eastAsia" w:ascii="仿宋_GB2312" w:hAnsi="仿宋_GB2312" w:eastAsia="仿宋_GB2312" w:cs="仿宋_GB2312"/>
          <w:b w:val="0"/>
          <w:bCs/>
          <w:kern w:val="0"/>
          <w:sz w:val="32"/>
          <w:szCs w:val="32"/>
          <w:lang w:val="en-US" w:eastAsia="zh-CN" w:bidi="ar-SA"/>
        </w:rPr>
        <w:t>综上，我局对宋某明提出的陈述申辩意见不予采纳。</w:t>
      </w:r>
    </w:p>
    <w:p>
      <w:pPr>
        <w:keepNext w:val="0"/>
        <w:keepLines w:val="0"/>
        <w:pageBreakBefore w:val="0"/>
        <w:widowControl w:val="0"/>
        <w:kinsoku/>
        <w:wordWrap/>
        <w:overflowPunct w:val="0"/>
        <w:topLinePunct w:val="0"/>
        <w:autoSpaceDE/>
        <w:autoSpaceDN/>
        <w:bidi w:val="0"/>
        <w:adjustRightInd/>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b w:val="0"/>
          <w:bCs/>
          <w:kern w:val="0"/>
          <w:sz w:val="32"/>
          <w:szCs w:val="32"/>
          <w:lang w:val="en-US" w:eastAsia="zh-CN" w:bidi="ar-SA"/>
        </w:rPr>
      </w:pPr>
      <w:r>
        <w:rPr>
          <w:rFonts w:hint="eastAsia" w:ascii="仿宋_GB2312" w:hAnsi="仿宋_GB2312" w:eastAsia="仿宋_GB2312" w:cs="Times New Roman"/>
          <w:b w:val="0"/>
          <w:bCs/>
          <w:kern w:val="0"/>
          <w:sz w:val="32"/>
          <w:szCs w:val="32"/>
          <w:lang w:val="en-US" w:eastAsia="zh-CN" w:bidi="ar-SA"/>
        </w:rPr>
        <w:t xml:space="preserve">根据当事人违法行为的事实、性质、情节及社会危害程度，依据《证券法》第一百九十一条第一款的规定，我局决定： </w:t>
      </w:r>
    </w:p>
    <w:p>
      <w:pPr>
        <w:keepNext w:val="0"/>
        <w:keepLines w:val="0"/>
        <w:pageBreakBefore w:val="0"/>
        <w:widowControl w:val="0"/>
        <w:kinsoku/>
        <w:wordWrap/>
        <w:overflowPunct w:val="0"/>
        <w:topLinePunct w:val="0"/>
        <w:autoSpaceDE/>
        <w:autoSpaceDN/>
        <w:bidi w:val="0"/>
        <w:adjustRightInd/>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b w:val="0"/>
          <w:bCs/>
          <w:kern w:val="0"/>
          <w:sz w:val="32"/>
          <w:szCs w:val="32"/>
          <w:lang w:val="en-US" w:eastAsia="zh-CN" w:bidi="ar-SA"/>
        </w:rPr>
      </w:pPr>
      <w:r>
        <w:rPr>
          <w:rFonts w:hint="eastAsia" w:ascii="仿宋_GB2312" w:hAnsi="仿宋_GB2312" w:eastAsia="仿宋_GB2312" w:cs="Times New Roman"/>
          <w:b w:val="0"/>
          <w:bCs/>
          <w:kern w:val="0"/>
          <w:sz w:val="32"/>
          <w:szCs w:val="32"/>
          <w:lang w:val="en-US" w:eastAsia="zh-CN" w:bidi="ar-SA"/>
        </w:rPr>
        <w:t>没收宋某明违法所得179,888.87元，并处以60万元罚款。</w:t>
      </w:r>
    </w:p>
    <w:p>
      <w:pPr>
        <w:pBdr>
          <w:top w:val="none" w:color="auto" w:sz="0" w:space="0"/>
        </w:pBdr>
        <w:overflowPunct w:val="0"/>
        <w:adjustRightInd/>
        <w:snapToGrid w:val="0"/>
        <w:spacing w:beforeLines="0" w:after="0" w:afterLines="0" w:line="336" w:lineRule="auto"/>
        <w:ind w:firstLine="640" w:firstLineChars="200"/>
        <w:jc w:val="both"/>
        <w:outlineLvl w:val="9"/>
        <w:rPr>
          <w:rFonts w:hint="default" w:ascii="仿宋_GB2312" w:eastAsia="仿宋_GB2312"/>
          <w:spacing w:val="8"/>
          <w:sz w:val="2"/>
          <w:szCs w:val="2"/>
          <w:lang w:val="en-US" w:eastAsia="zh-CN"/>
        </w:rPr>
      </w:pPr>
      <w:r>
        <w:rPr>
          <w:rFonts w:hint="eastAsia" w:ascii="仿宋_GB2312" w:hAnsi="仿宋_GB2312" w:eastAsia="仿宋_GB2312" w:cs="Times New Roman"/>
          <w:b w:val="0"/>
          <w:bCs/>
          <w:kern w:val="0"/>
          <w:sz w:val="32"/>
          <w:szCs w:val="32"/>
          <w:lang w:val="en-US" w:eastAsia="zh-CN" w:bidi="ar-SA"/>
        </w:rPr>
        <w:t>上述当事人应自收到本处罚决定书之日起15日内，将罚没款直接汇交国库。具体缴款方式见本处罚决定书所附说明。同时，须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8"/>
        <w:widowControl w:val="0"/>
        <w:overflowPunct w:val="0"/>
        <w:snapToGrid w:val="0"/>
        <w:spacing w:line="360" w:lineRule="auto"/>
        <w:rPr>
          <w:rFonts w:hint="eastAsia" w:ascii="仿宋_GB2312" w:hAnsi="仿宋_GB2312" w:eastAsia="仿宋_GB2312" w:cs="仿宋_GB2312"/>
          <w:color w:val="auto"/>
          <w:sz w:val="22"/>
          <w:szCs w:val="22"/>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2"/>
          <w:szCs w:val="22"/>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2"/>
          <w:szCs w:val="22"/>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7</w:t>
      </w:r>
      <w:r>
        <w:rPr>
          <w:rFonts w:hint="eastAsia" w:ascii="仿宋_GB2312" w:hAnsi="Times New Roman" w:eastAsia="仿宋_GB2312" w:cs="Times New Roman"/>
          <w:color w:val="000000"/>
          <w:spacing w:val="10"/>
          <w:sz w:val="32"/>
          <w:szCs w:val="32"/>
        </w:rPr>
        <w:t>月</w:t>
      </w:r>
      <w:r>
        <w:rPr>
          <w:rFonts w:hint="default" w:ascii="仿宋_GB2312" w:cs="Times New Roman"/>
          <w:color w:val="000000"/>
          <w:spacing w:val="10"/>
          <w:sz w:val="32"/>
          <w:szCs w:val="32"/>
          <w:lang w:val="en-US" w:eastAsia="zh-CN"/>
        </w:rPr>
        <w:t>8</w:t>
      </w:r>
      <w:r>
        <w:rPr>
          <w:rFonts w:hint="eastAsia" w:ascii="仿宋_GB2312" w:hAnsi="Times New Roman" w:eastAsia="仿宋_GB2312" w:cs="Times New Roman"/>
          <w:color w:val="000000"/>
          <w:spacing w:val="10"/>
          <w:sz w:val="32"/>
          <w:szCs w:val="32"/>
        </w:rPr>
        <w:t>日</w:t>
      </w:r>
    </w:p>
    <w:p>
      <w:pPr>
        <w:snapToGrid w:val="0"/>
        <w:spacing w:line="300" w:lineRule="auto"/>
        <w:ind w:right="26"/>
        <w:jc w:val="left"/>
        <w:rPr>
          <w:rFonts w:hint="eastAsia" w:ascii="黑体" w:eastAsia="黑体"/>
          <w:spacing w:val="8"/>
          <w:sz w:val="28"/>
          <w:szCs w:val="18"/>
        </w:rPr>
      </w:pPr>
    </w:p>
    <w:bookmarkEnd w:id="0"/>
    <w:p>
      <w:pPr>
        <w:pBdr>
          <w:top w:val="none" w:color="auto" w:sz="0" w:space="0"/>
        </w:pBdr>
        <w:overflowPunct w:val="0"/>
        <w:adjustRightInd/>
        <w:snapToGrid w:val="0"/>
        <w:spacing w:beforeLines="0" w:after="0" w:afterLines="0" w:line="336" w:lineRule="auto"/>
        <w:ind w:firstLine="0" w:firstLineChars="0"/>
        <w:jc w:val="both"/>
        <w:outlineLvl w:val="9"/>
        <w:rPr>
          <w:rFonts w:hint="default" w:ascii="仿宋_GB2312" w:eastAsia="仿宋_GB2312"/>
          <w:spacing w:val="8"/>
          <w:sz w:val="2"/>
          <w:szCs w:val="2"/>
          <w:lang w:val="en-US" w:eastAsia="zh-CN"/>
        </w:rPr>
      </w:pPr>
    </w:p>
    <w:sectPr>
      <w:headerReference r:id="rId3" w:type="default"/>
      <w:footerReference r:id="rId4" w:type="default"/>
      <w:pgSz w:w="11906" w:h="16838"/>
      <w:pgMar w:top="2097" w:right="1474" w:bottom="1984" w:left="1587" w:header="851" w:footer="158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revisionView w:markup="0"/>
  <w:trackRevisions w:val="true"/>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0DBC524"/>
    <w:rsid w:val="34BB74BA"/>
    <w:rsid w:val="3FBF6C13"/>
    <w:rsid w:val="4FD79B7C"/>
    <w:rsid w:val="6FAE8850"/>
    <w:rsid w:val="6FBF2511"/>
    <w:rsid w:val="7963CE9B"/>
    <w:rsid w:val="ADB522B6"/>
    <w:rsid w:val="B39F3600"/>
    <w:rsid w:val="BEB3182B"/>
    <w:rsid w:val="DCFF3C82"/>
    <w:rsid w:val="EFFA5C34"/>
    <w:rsid w:val="F0DBC524"/>
    <w:rsid w:val="FFBF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eastAsia="宋体" w:cs="Times New Roman"/>
      <w:kern w:val="0"/>
      <w:sz w:val="21"/>
      <w:szCs w:val="24"/>
      <w:lang w:val="en-US" w:eastAsia="zh-CN" w:bidi="ar-SA"/>
    </w:rPr>
  </w:style>
  <w:style w:type="paragraph" w:styleId="3">
    <w:name w:val="footer"/>
    <w:basedOn w:val="1"/>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p0"/>
    <w:basedOn w:val="1"/>
    <w:qFormat/>
    <w:uiPriority w:val="0"/>
    <w:pPr>
      <w:widowControl/>
    </w:pPr>
    <w:rPr>
      <w:rFonts w:hint="eastAsia"/>
    </w:rPr>
  </w:style>
  <w:style w:type="paragraph" w:customStyle="1" w:styleId="9">
    <w:name w:val=" Char Char Char Char"/>
    <w:basedOn w:val="1"/>
    <w:qFormat/>
    <w:uiPriority w:val="0"/>
    <w:pPr>
      <w:tabs>
        <w:tab w:val="left" w:pos="360"/>
      </w:tabs>
    </w:pPr>
  </w:style>
  <w:style w:type="paragraph" w:customStyle="1" w:styleId="10">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2025-07-01T02:48:00Z</dcterms:created>
  <dc:creator>周蕾</dc:creator>
  <cp:lastModifiedBy>胡芬：处室负责人审核</cp:lastModifiedBy>
  <dcterms:modified xsi:type="dcterms:W3CDTF">2025-07-11T10:44:33Z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A686205312B33F4507846F6844E91699</vt:lpwstr>
  </property>
</Properties>
</file>