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240" w:line="300" w:lineRule="auto"/>
        <w:jc w:val="center"/>
        <w:rPr>
          <w:rFonts w:hint="eastAsia" w:ascii="方正小标宋简体" w:hAnsi="方正小标宋简体" w:eastAsia="方正小标宋简体"/>
          <w:color w:val="FF0000"/>
          <w:spacing w:val="12"/>
          <w:w w:val="75"/>
          <w:sz w:val="60"/>
        </w:rPr>
      </w:pPr>
      <w:r>
        <w:rPr>
          <w:rFonts w:hint="eastAsia" w:ascii="方正小标宋简体" w:hAnsi="方正小标宋简体" w:eastAsia="方正小标宋简体"/>
          <w:color w:val="FF0000"/>
          <w:w w:val="75"/>
          <w:sz w:val="60"/>
        </w:rPr>
        <w:t>中国证券监督管理委员会广东监管局</w:t>
      </w:r>
    </w:p>
    <w:p>
      <w:pPr>
        <w:snapToGrid w:val="0"/>
        <w:spacing w:line="300" w:lineRule="auto"/>
        <w:ind w:right="-194"/>
        <w:jc w:val="center"/>
        <w:rPr>
          <w:rFonts w:hint="eastAsia" w:ascii="方正小标宋简体" w:hAnsi="方正小标宋简体" w:eastAsia="方正小标宋简体"/>
          <w:snapToGrid w:val="0"/>
          <w:color w:val="FF0000"/>
          <w:spacing w:val="136"/>
          <w:kern w:val="0"/>
          <w:sz w:val="80"/>
        </w:rPr>
      </w:pPr>
      <w:r>
        <w:rPr>
          <w:rFonts w:hint="eastAsia" w:ascii="方正小标宋简体" w:hAnsi="方正小标宋简体" w:eastAsia="方正小标宋简体"/>
          <w:snapToGrid w:val="0"/>
          <w:color w:val="FF0000"/>
          <w:spacing w:val="136"/>
          <w:kern w:val="0"/>
          <w:sz w:val="80"/>
        </w:rPr>
        <w:t>行政处罚决定书</w:t>
      </w:r>
    </w:p>
    <w:p>
      <w:pPr>
        <w:keepNext w:val="0"/>
        <w:keepLines w:val="0"/>
        <w:pageBreakBefore w:val="0"/>
        <w:widowControl w:val="0"/>
        <w:kinsoku/>
        <w:wordWrap/>
        <w:overflowPunct/>
        <w:topLinePunct w:val="0"/>
        <w:autoSpaceDE/>
        <w:autoSpaceDN/>
        <w:bidi w:val="0"/>
        <w:snapToGrid w:val="0"/>
        <w:spacing w:before="0" w:beforeLines="0" w:after="0" w:afterLines="0" w:line="300" w:lineRule="auto"/>
        <w:ind w:left="0" w:leftChars="0" w:right="0" w:rightChars="0"/>
        <w:jc w:val="center"/>
        <w:textAlignment w:val="auto"/>
        <w:outlineLvl w:val="9"/>
        <w:rPr>
          <w:rFonts w:hint="eastAsia" w:ascii="仿宋_GB2312" w:eastAsia="仿宋_GB2312"/>
          <w:spacing w:val="12"/>
          <w:sz w:val="16"/>
          <w:szCs w:val="16"/>
        </w:rPr>
      </w:pPr>
      <w:bookmarkStart w:id="0" w:name="quanwen"/>
    </w:p>
    <w:p>
      <w:pPr>
        <w:keepNext w:val="0"/>
        <w:keepLines w:val="0"/>
        <w:pageBreakBefore w:val="0"/>
        <w:widowControl w:val="0"/>
        <w:kinsoku/>
        <w:wordWrap/>
        <w:overflowPunct/>
        <w:topLinePunct w:val="0"/>
        <w:autoSpaceDE/>
        <w:autoSpaceDN/>
        <w:bidi w:val="0"/>
        <w:snapToGrid w:val="0"/>
        <w:spacing w:before="0" w:beforeLines="0" w:after="0" w:afterLines="0" w:line="324" w:lineRule="auto"/>
        <w:ind w:left="0" w:leftChars="0" w:right="0" w:rightChars="0"/>
        <w:jc w:val="center"/>
        <w:textAlignment w:val="auto"/>
        <w:outlineLvl w:val="0"/>
        <w:rPr>
          <w:rFonts w:hint="eastAsia" w:ascii="仿宋_GB2312" w:eastAsia="仿宋_GB2312"/>
          <w:spacing w:val="12"/>
          <w:sz w:val="28"/>
        </w:rPr>
      </w:pPr>
      <w:r>
        <w:rPr>
          <w:rFonts w:hint="eastAsia" w:ascii="仿宋_GB2312" w:eastAsia="仿宋_GB2312"/>
          <w:spacing w:val="12"/>
          <w:sz w:val="28"/>
        </w:rPr>
        <w:t>〔20</w:t>
      </w:r>
      <w:r>
        <w:rPr>
          <w:rFonts w:hint="eastAsia" w:ascii="仿宋_GB2312" w:eastAsia="仿宋_GB2312"/>
          <w:spacing w:val="12"/>
          <w:sz w:val="28"/>
          <w:lang w:val="en-US" w:eastAsia="zh-CN"/>
        </w:rPr>
        <w:t>2</w:t>
      </w:r>
      <w:r>
        <w:rPr>
          <w:rFonts w:hint="default" w:ascii="仿宋_GB2312" w:eastAsia="仿宋_GB2312"/>
          <w:spacing w:val="12"/>
          <w:sz w:val="28"/>
          <w:lang w:val="en-US" w:eastAsia="zh-CN"/>
        </w:rPr>
        <w:t>5</w:t>
      </w:r>
      <w:r>
        <w:rPr>
          <w:rFonts w:hint="eastAsia" w:ascii="仿宋_GB2312" w:eastAsia="仿宋_GB2312"/>
          <w:spacing w:val="12"/>
          <w:sz w:val="28"/>
        </w:rPr>
        <w:t>〕</w:t>
      </w:r>
      <w:r>
        <w:rPr>
          <w:rFonts w:hint="default" w:ascii="仿宋_GB2312" w:eastAsia="仿宋_GB2312"/>
          <w:spacing w:val="12"/>
          <w:sz w:val="28"/>
          <w:lang w:val="en-US"/>
        </w:rPr>
        <w:t>10</w:t>
      </w:r>
      <w:r>
        <w:rPr>
          <w:rFonts w:hint="eastAsia" w:ascii="仿宋_GB2312" w:eastAsia="仿宋_GB2312"/>
          <w:spacing w:val="12"/>
          <w:sz w:val="28"/>
        </w:rPr>
        <w:t>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24" w:lineRule="auto"/>
        <w:ind w:left="0" w:leftChars="0" w:right="0" w:rightChars="0" w:firstLine="392" w:firstLineChars="200"/>
        <w:textAlignment w:val="auto"/>
        <w:outlineLvl w:val="9"/>
        <w:rPr>
          <w:rFonts w:hint="eastAsia" w:ascii="仿宋_GB2312" w:eastAsia="仿宋_GB2312"/>
          <w:spacing w:val="8"/>
          <w:sz w:val="18"/>
          <w:szCs w:val="18"/>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24" w:lineRule="auto"/>
        <w:ind w:left="0" w:leftChars="0" w:right="0" w:rightChars="0" w:firstLine="392" w:firstLineChars="200"/>
        <w:textAlignment w:val="auto"/>
        <w:outlineLvl w:val="9"/>
        <w:rPr>
          <w:rFonts w:hint="eastAsia" w:ascii="仿宋_GB2312" w:eastAsia="仿宋_GB2312"/>
          <w:spacing w:val="8"/>
          <w:sz w:val="18"/>
          <w:szCs w:val="18"/>
        </w:rPr>
      </w:pP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60" w:lineRule="auto"/>
        <w:ind w:left="0" w:leftChars="0" w:right="0" w:rightChars="0" w:firstLine="64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当事人：广东海印集团股份有限公司（以下简称海印股份），住所：广东省广州市越秀区东华南路98号21-32层。</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邵某明：男，196X年5月出生，</w:t>
      </w:r>
      <w:r>
        <w:rPr>
          <w:rFonts w:hint="eastAsia" w:ascii="仿宋_GB2312" w:hAnsi="仿宋_GB2312" w:eastAsia="仿宋_GB2312" w:cs="Times New Roman"/>
          <w:kern w:val="0"/>
          <w:sz w:val="32"/>
          <w:szCs w:val="32"/>
          <w:lang w:val="en-US" w:eastAsia="zh-CN"/>
        </w:rPr>
        <w:t>海印股份</w:t>
      </w:r>
      <w:r>
        <w:rPr>
          <w:rFonts w:hint="default" w:ascii="仿宋_GB2312" w:hAnsi="仿宋_GB2312" w:eastAsia="仿宋_GB2312" w:cs="Times New Roman"/>
          <w:kern w:val="0"/>
          <w:sz w:val="32"/>
          <w:szCs w:val="32"/>
          <w:lang w:val="en-US" w:eastAsia="zh-CN"/>
        </w:rPr>
        <w:t>实际控制人</w:t>
      </w:r>
      <w:r>
        <w:rPr>
          <w:rFonts w:hint="eastAsia" w:ascii="仿宋_GB2312" w:hAnsi="仿宋_GB2312" w:eastAsia="仿宋_GB2312" w:cs="Times New Roman"/>
          <w:kern w:val="0"/>
          <w:sz w:val="32"/>
          <w:szCs w:val="32"/>
          <w:lang w:val="en-US" w:eastAsia="zh-CN"/>
        </w:rPr>
        <w:t>、时任董事长</w:t>
      </w:r>
      <w:r>
        <w:rPr>
          <w:rFonts w:hint="eastAsia" w:ascii="仿宋_GB2312" w:hAnsi="仿宋_GB2312" w:eastAsia="仿宋_GB2312" w:cs="Times New Roman"/>
          <w:kern w:val="0"/>
          <w:sz w:val="32"/>
          <w:szCs w:val="32"/>
          <w:lang w:val="en" w:eastAsia="zh-CN"/>
        </w:rPr>
        <w:t>，</w:t>
      </w:r>
      <w:r>
        <w:rPr>
          <w:rFonts w:hint="eastAsia" w:ascii="仿宋_GB2312" w:hAnsi="仿宋_GB2312" w:eastAsia="仿宋_GB2312" w:cs="Times New Roman"/>
          <w:sz w:val="32"/>
          <w:szCs w:val="32"/>
          <w:lang w:val="en-US" w:eastAsia="zh-CN"/>
        </w:rPr>
        <w:t>住址：广东省广州市越秀区。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邵某佳，男，196X年4月出生，</w:t>
      </w:r>
      <w:r>
        <w:rPr>
          <w:rFonts w:hint="eastAsia" w:ascii="仿宋_GB2312" w:hAnsi="仿宋_GB2312" w:eastAsia="仿宋_GB2312" w:cs="Times New Roman"/>
          <w:kern w:val="0"/>
          <w:sz w:val="32"/>
          <w:szCs w:val="32"/>
          <w:lang w:val="en" w:eastAsia="zh-CN"/>
        </w:rPr>
        <w:t>时任</w:t>
      </w:r>
      <w:r>
        <w:rPr>
          <w:rFonts w:hint="eastAsia" w:ascii="仿宋_GB2312" w:hAnsi="仿宋_GB2312" w:eastAsia="仿宋_GB2312" w:cs="Times New Roman"/>
          <w:kern w:val="0"/>
          <w:sz w:val="32"/>
          <w:szCs w:val="32"/>
          <w:lang w:val="en-US" w:eastAsia="zh-CN"/>
        </w:rPr>
        <w:t>海印股份</w:t>
      </w:r>
      <w:r>
        <w:rPr>
          <w:rFonts w:hint="eastAsia" w:ascii="仿宋_GB2312" w:hAnsi="仿宋_GB2312" w:eastAsia="仿宋_GB2312" w:cs="Times New Roman"/>
          <w:kern w:val="0"/>
          <w:sz w:val="32"/>
          <w:szCs w:val="32"/>
          <w:lang w:val="en" w:eastAsia="zh-CN"/>
        </w:rPr>
        <w:t>董事、总裁</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Times New Roman"/>
          <w:sz w:val="32"/>
          <w:szCs w:val="32"/>
          <w:lang w:val="en-US" w:eastAsia="zh-CN"/>
        </w:rPr>
        <w:t>住址：广东省广州市东山区。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lang w:val="en-US" w:eastAsia="zh-CN"/>
        </w:rPr>
      </w:pPr>
      <w:r>
        <w:rPr>
          <w:rFonts w:hint="eastAsia" w:ascii="仿宋_GB2312" w:hAnsi="仿宋_GB2312" w:eastAsia="仿宋_GB2312" w:cs="Times New Roman"/>
          <w:sz w:val="32"/>
          <w:szCs w:val="32"/>
          <w:lang w:val="en-US" w:eastAsia="zh-CN"/>
        </w:rPr>
        <w:t>温某婷，女，197X年10月出生，</w:t>
      </w:r>
      <w:r>
        <w:rPr>
          <w:rFonts w:hint="eastAsia" w:ascii="仿宋_GB2312" w:hAnsi="仿宋_GB2312" w:eastAsia="仿宋_GB2312" w:cs="Times New Roman"/>
          <w:kern w:val="0"/>
          <w:sz w:val="32"/>
          <w:szCs w:val="32"/>
          <w:lang w:val="en-US" w:eastAsia="zh-CN"/>
        </w:rPr>
        <w:t>时任海印股份财务总监</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Times New Roman"/>
          <w:sz w:val="32"/>
          <w:szCs w:val="32"/>
          <w:lang w:val="en-US" w:eastAsia="zh-CN"/>
        </w:rPr>
        <w:t>住址：广东省广州市海珠区。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lang w:val="en-US" w:eastAsia="zh-CN"/>
        </w:rPr>
      </w:pPr>
      <w:r>
        <w:rPr>
          <w:rFonts w:hint="eastAsia" w:ascii="仿宋_GB2312" w:hAnsi="仿宋_GB2312" w:eastAsia="仿宋_GB2312" w:cs="Times New Roman"/>
          <w:sz w:val="32"/>
          <w:szCs w:val="32"/>
          <w:lang w:val="en-US" w:eastAsia="zh-CN"/>
        </w:rPr>
        <w:t>潘某，男，197X年4月出生，</w:t>
      </w:r>
      <w:r>
        <w:rPr>
          <w:rFonts w:hint="eastAsia" w:ascii="仿宋_GB2312" w:hAnsi="仿宋_GB2312" w:eastAsia="仿宋_GB2312" w:cs="Times New Roman"/>
          <w:kern w:val="0"/>
          <w:sz w:val="32"/>
          <w:szCs w:val="32"/>
          <w:lang w:val="en-US" w:eastAsia="zh-CN"/>
        </w:rPr>
        <w:t>时任海印股份董事、副总裁，</w:t>
      </w:r>
      <w:r>
        <w:rPr>
          <w:rFonts w:hint="eastAsia" w:ascii="仿宋_GB2312" w:hAnsi="仿宋_GB2312" w:eastAsia="仿宋_GB2312" w:cs="Times New Roman"/>
          <w:sz w:val="32"/>
          <w:szCs w:val="32"/>
          <w:lang w:val="en-US" w:eastAsia="zh-CN"/>
        </w:rPr>
        <w:t>住址：广东省广州市黄埔区。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lang w:val="en-US" w:eastAsia="zh-CN"/>
        </w:rPr>
      </w:pPr>
      <w:r>
        <w:rPr>
          <w:rFonts w:hint="eastAsia" w:ascii="仿宋_GB2312" w:hAnsi="仿宋_GB2312" w:eastAsia="仿宋_GB2312" w:cs="Times New Roman"/>
          <w:sz w:val="32"/>
          <w:szCs w:val="32"/>
          <w:lang w:val="en-US" w:eastAsia="zh-CN"/>
        </w:rPr>
        <w:t>吴某乐，女，198X年2月出生，时任</w:t>
      </w:r>
      <w:r>
        <w:rPr>
          <w:rFonts w:hint="eastAsia" w:ascii="仿宋_GB2312" w:hAnsi="仿宋_GB2312" w:eastAsia="仿宋_GB2312" w:cs="Times New Roman"/>
          <w:kern w:val="0"/>
          <w:sz w:val="32"/>
          <w:szCs w:val="32"/>
          <w:lang w:val="en-US" w:eastAsia="zh-CN"/>
        </w:rPr>
        <w:t>海印股份</w:t>
      </w:r>
      <w:r>
        <w:rPr>
          <w:rFonts w:hint="eastAsia" w:ascii="仿宋_GB2312" w:hAnsi="仿宋_GB2312" w:eastAsia="仿宋_GB2312" w:cs="Times New Roman"/>
          <w:sz w:val="32"/>
          <w:szCs w:val="32"/>
          <w:lang w:val="en-US" w:eastAsia="zh-CN"/>
        </w:rPr>
        <w:t>董事会秘书</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Times New Roman"/>
          <w:sz w:val="32"/>
          <w:szCs w:val="32"/>
          <w:lang w:val="en-US" w:eastAsia="zh-CN"/>
        </w:rPr>
        <w:t>住址：广东省广州市越秀区。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Times New Roman"/>
          <w:sz w:val="32"/>
          <w:szCs w:val="32"/>
          <w:lang w:val="en-US" w:eastAsia="zh-CN"/>
        </w:rPr>
        <w:t>依据《中华人民共和国证券法》（以下简称《证券法》）的有关规定，我局对海印股份、邵某明信息披露违法违规行为进行了立案调查，并依法向当事人告知了作出行政处罚的事实、理由、</w:t>
      </w:r>
      <w:r>
        <w:rPr>
          <w:rFonts w:hint="eastAsia" w:ascii="仿宋_GB2312" w:hAnsi="仿宋_GB2312" w:eastAsia="仿宋_GB2312" w:cs="仿宋_GB2312"/>
          <w:kern w:val="0"/>
          <w:sz w:val="32"/>
          <w:szCs w:val="32"/>
          <w:lang w:val="en-US" w:eastAsia="zh-CN" w:bidi="ar-SA"/>
        </w:rPr>
        <w:t>依据及当事人依法享有的权利。当事人未提出陈述、申辩意见，也未要求听证。本案现已调查、办理终结。</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经查明，海印股份、邵某明存在以下违法事实：</w:t>
      </w:r>
    </w:p>
    <w:p>
      <w:pPr>
        <w:keepNext w:val="0"/>
        <w:keepLines w:val="0"/>
        <w:pageBreakBefore w:val="0"/>
        <w:widowControl w:val="0"/>
        <w:tabs>
          <w:tab w:val="left" w:pos="46"/>
        </w:tabs>
        <w:kinsoku/>
        <w:wordWrap/>
        <w:overflowPunct w:val="0"/>
        <w:topLinePunct w:val="0"/>
        <w:autoSpaceDE/>
        <w:autoSpaceDN/>
        <w:bidi w:val="0"/>
        <w:adjustRightInd/>
        <w:snapToGrid w:val="0"/>
        <w:spacing w:before="0" w:beforeLines="0" w:after="0" w:afterLines="0" w:line="360" w:lineRule="auto"/>
        <w:ind w:right="0" w:rightChars="0" w:firstLine="640" w:firstLineChars="200"/>
        <w:jc w:val="both"/>
        <w:textAlignment w:val="auto"/>
        <w:outlineLvl w:val="9"/>
        <w:rPr>
          <w:rFonts w:hint="eastAsia"/>
          <w:sz w:val="32"/>
          <w:szCs w:val="32"/>
          <w:lang w:val="en-US" w:eastAsia="zh-CN"/>
        </w:rPr>
      </w:pPr>
      <w:r>
        <w:rPr>
          <w:rFonts w:hint="eastAsia" w:ascii="仿宋_GB2312" w:hAnsi="仿宋_GB2312" w:eastAsia="仿宋_GB2312" w:cs="Times New Roman"/>
          <w:kern w:val="0"/>
          <w:sz w:val="32"/>
          <w:szCs w:val="32"/>
          <w:lang w:val="en-US" w:eastAsia="zh-CN"/>
        </w:rPr>
        <w:t>海印股份的控股股东为广州海印实业集团有限公司（以下简称海印集团）。广州广湾十八商务有限公司（以下简称广湾十八）、广州海印体育发展有限公司（以下简称海印体育）、茂名高岭科技有限公司（以下简称茂名高岭）、北海高岭科技有限公司（以下简称北海高岭）和广州体宾商务有限公司（以下简称体宾商务）等5家公司为海印集团下属子公司。海印集团及上述子公司均为海印股份的关联方。</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60" w:lineRule="auto"/>
        <w:ind w:left="0" w:leftChars="0" w:right="0" w:rightChars="0" w:firstLine="640"/>
        <w:jc w:val="both"/>
        <w:textAlignment w:val="auto"/>
        <w:outlineLvl w:val="9"/>
        <w:rPr>
          <w:rFonts w:hint="eastAsia" w:ascii="仿宋_GB2312" w:hAnsi="仿宋_GB2312" w:eastAsia="仿宋_GB2312" w:cs="仿宋_GB2312"/>
          <w:b w:val="0"/>
          <w:bCs w:val="0"/>
          <w:snapToGrid/>
          <w:color w:val="auto"/>
          <w:kern w:val="2"/>
          <w:sz w:val="32"/>
          <w:szCs w:val="32"/>
          <w:lang w:val="en-US" w:eastAsia="zh-CN" w:bidi="ar-SA"/>
        </w:rPr>
      </w:pPr>
      <w:r>
        <w:rPr>
          <w:rFonts w:hint="eastAsia" w:ascii="仿宋_GB2312" w:hAnsi="仿宋_GB2312" w:eastAsia="仿宋_GB2312" w:cs="仿宋_GB2312"/>
          <w:b w:val="0"/>
          <w:bCs w:val="0"/>
          <w:snapToGrid/>
          <w:color w:val="auto"/>
          <w:kern w:val="2"/>
          <w:sz w:val="32"/>
          <w:szCs w:val="32"/>
          <w:lang w:val="en-US" w:eastAsia="zh-CN" w:bidi="ar-SA"/>
        </w:rPr>
        <w:t>2021年至2022年，海印股份通过广东茂名大厦有限公司、肇庆大旺海印又一城商业有限公司、四会海印新都荟商业有限公司和茂名海悦房地产开发有限公司等4家子公司，以预付工程款等名义，将上市公司资金经多家供应商中转，与控股股东海印集团及其下属子公司广湾十八、海印体育、茂名高岭、北海高岭和体宾商务等6家关联方发生资金往来。2021年，海印股份向上述关联方转出资金139,550,000元，转回资金43,500,000元，发生非经营性资金往来合计183,050,000元。2022年，海印股份向上述关联方转出资金88,450,000元，转回资金145,000,000元，发生非经营性资金往来合计233,450,000元。</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Lines="0" w:afterLines="0" w:line="360" w:lineRule="auto"/>
        <w:ind w:firstLine="640" w:firstLineChars="0"/>
        <w:outlineLvl w:val="9"/>
        <w:rPr>
          <w:rFonts w:hint="default" w:ascii="仿宋_GB2312" w:hAnsi="仿宋_GB2312" w:eastAsia="仿宋_GB2312" w:cs="Times New Roman"/>
          <w:kern w:val="0"/>
          <w:sz w:val="32"/>
          <w:szCs w:val="32"/>
          <w:highlight w:val="none"/>
          <w:lang w:val="en-US" w:eastAsia="zh-CN"/>
        </w:rPr>
      </w:pPr>
      <w:r>
        <w:rPr>
          <w:rFonts w:hint="eastAsia" w:ascii="仿宋_GB2312" w:hAnsi="仿宋_GB2312" w:eastAsia="仿宋_GB2312" w:cs="Times New Roman"/>
          <w:kern w:val="0"/>
          <w:sz w:val="32"/>
          <w:szCs w:val="32"/>
          <w:lang w:val="en-US" w:eastAsia="zh-CN"/>
        </w:rPr>
        <w:t>根据《证券法》第七十九条第一项、第八十条第一款和第二款第三项，《公开发行证券的公司信息披露内容与格式准则第2号—年度报告的内容与格式》（证监会公告〔202</w:t>
      </w:r>
      <w:r>
        <w:rPr>
          <w:rFonts w:hint="eastAsia" w:ascii="仿宋_GB2312" w:hAnsi="仿宋_GB2312" w:eastAsia="仿宋_GB2312" w:cs="Times New Roman"/>
          <w:kern w:val="0"/>
          <w:sz w:val="32"/>
          <w:szCs w:val="32"/>
          <w:highlight w:val="none"/>
          <w:lang w:val="en-US" w:eastAsia="zh-CN"/>
        </w:rPr>
        <w:t>1〕15号）第五十四条的规定，上述事项属于应当及时披露的重大事件，并应当在定期报告中披露。</w:t>
      </w:r>
      <w:r>
        <w:rPr>
          <w:rFonts w:hint="eastAsia" w:ascii="仿宋_GB2312" w:hAnsi="仿宋_GB2312" w:eastAsia="仿宋_GB2312" w:cs="仿宋_GB2312"/>
          <w:b w:val="0"/>
          <w:bCs w:val="0"/>
          <w:snapToGrid/>
          <w:color w:val="auto"/>
          <w:kern w:val="2"/>
          <w:sz w:val="32"/>
          <w:szCs w:val="32"/>
          <w:highlight w:val="none"/>
          <w:lang w:val="en-US" w:eastAsia="zh-CN" w:bidi="ar-SA"/>
        </w:rPr>
        <w:t>海印股份未按规定及时披露，未在2021年、2022年年度报告中披露上述事项，</w:t>
      </w:r>
      <w:r>
        <w:rPr>
          <w:rFonts w:hint="eastAsia" w:ascii="仿宋_GB2312" w:hAnsi="仿宋_GB2312" w:eastAsia="仿宋_GB2312" w:cs="仿宋_GB2312"/>
          <w:b w:val="0"/>
          <w:bCs w:val="0"/>
          <w:color w:val="auto"/>
          <w:kern w:val="0"/>
          <w:sz w:val="32"/>
          <w:szCs w:val="32"/>
          <w:highlight w:val="none"/>
          <w:lang w:val="en-US" w:eastAsia="zh-CN"/>
        </w:rPr>
        <w:t>也未披露与</w:t>
      </w:r>
      <w:r>
        <w:rPr>
          <w:rFonts w:hint="eastAsia" w:ascii="仿宋_GB2312" w:hAnsi="仿宋_GB2312" w:eastAsia="仿宋_GB2312" w:cs="仿宋_GB2312"/>
          <w:b w:val="0"/>
          <w:bCs w:val="0"/>
          <w:snapToGrid/>
          <w:color w:val="auto"/>
          <w:kern w:val="2"/>
          <w:sz w:val="32"/>
          <w:szCs w:val="32"/>
          <w:highlight w:val="none"/>
          <w:lang w:val="en-US" w:eastAsia="zh-CN" w:bidi="ar-SA"/>
        </w:rPr>
        <w:t>广湾十八、海印体育、体宾商务</w:t>
      </w:r>
      <w:r>
        <w:rPr>
          <w:rFonts w:hint="eastAsia" w:ascii="仿宋_GB2312" w:hAnsi="仿宋_GB2312" w:eastAsia="仿宋_GB2312" w:cs="仿宋_GB2312"/>
          <w:b w:val="0"/>
          <w:bCs w:val="0"/>
          <w:color w:val="auto"/>
          <w:kern w:val="0"/>
          <w:sz w:val="32"/>
          <w:szCs w:val="32"/>
          <w:highlight w:val="none"/>
          <w:lang w:val="en-US" w:eastAsia="zh-CN"/>
        </w:rPr>
        <w:t>的关联关系，</w:t>
      </w:r>
      <w:r>
        <w:rPr>
          <w:rFonts w:hint="eastAsia" w:ascii="仿宋_GB2312" w:hAnsi="仿宋_GB2312" w:eastAsia="仿宋_GB2312" w:cs="仿宋_GB2312"/>
          <w:b w:val="0"/>
          <w:bCs w:val="0"/>
          <w:snapToGrid/>
          <w:color w:val="auto"/>
          <w:kern w:val="2"/>
          <w:sz w:val="32"/>
          <w:szCs w:val="32"/>
          <w:highlight w:val="none"/>
          <w:lang w:val="en-US" w:eastAsia="zh-CN" w:bidi="ar-SA"/>
        </w:rPr>
        <w:t>2021年、2022年年度</w:t>
      </w:r>
      <w:r>
        <w:rPr>
          <w:rFonts w:hint="eastAsia" w:ascii="仿宋_GB2312" w:hAnsi="仿宋_GB2312" w:eastAsia="仿宋_GB2312" w:cs="仿宋_GB2312"/>
          <w:b w:val="0"/>
          <w:bCs w:val="0"/>
          <w:color w:val="auto"/>
          <w:kern w:val="0"/>
          <w:sz w:val="32"/>
          <w:szCs w:val="32"/>
          <w:highlight w:val="none"/>
          <w:lang w:val="en-US" w:eastAsia="zh-CN"/>
        </w:rPr>
        <w:t>报告存在重大遗漏。</w:t>
      </w:r>
    </w:p>
    <w:p>
      <w:pPr>
        <w:keepNext w:val="0"/>
        <w:keepLines w:val="0"/>
        <w:pageBreakBefore w:val="0"/>
        <w:widowControl w:val="0"/>
        <w:kinsoku/>
        <w:wordWrap/>
        <w:overflowPunct w:val="0"/>
        <w:topLinePunct w:val="0"/>
        <w:autoSpaceDE/>
        <w:autoSpaceDN/>
        <w:bidi w:val="0"/>
        <w:adjustRightInd/>
        <w:snapToGrid w:val="0"/>
        <w:spacing w:beforeLines="0" w:afterLines="0" w:line="360" w:lineRule="auto"/>
        <w:ind w:left="0" w:lef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上述违法事实，有上市公司公告、相关银行账户资金流水、记账凭证及原始凭证、情况说明、询问笔录等证据证明，足以认定。</w:t>
      </w:r>
    </w:p>
    <w:p>
      <w:pPr>
        <w:keepNext w:val="0"/>
        <w:keepLines w:val="0"/>
        <w:pageBreakBefore w:val="0"/>
        <w:widowControl w:val="0"/>
        <w:numPr>
          <w:ilvl w:val="0"/>
          <w:numId w:val="0"/>
        </w:numPr>
        <w:tabs>
          <w:tab w:val="left" w:pos="46"/>
        </w:tabs>
        <w:kinsoku/>
        <w:wordWrap/>
        <w:overflowPunct w:val="0"/>
        <w:topLinePunct w:val="0"/>
        <w:autoSpaceDE/>
        <w:autoSpaceDN/>
        <w:bidi w:val="0"/>
        <w:adjustRightInd/>
        <w:snapToGrid w:val="0"/>
        <w:spacing w:before="0" w:beforeLines="0" w:after="0" w:afterLines="0" w:line="360" w:lineRule="auto"/>
        <w:ind w:right="0" w:rightChars="0" w:firstLine="640" w:firstLineChars="200"/>
        <w:jc w:val="both"/>
        <w:textAlignment w:val="auto"/>
        <w:outlineLvl w:val="9"/>
        <w:rPr>
          <w:rFonts w:hint="eastAsia"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海印股份的上述行为违反《证券法》第七十八条第一款和第二款、第八十条第一款和第二款第三项的规定，构成《证券法》第一百九十七条第一款和第二款所述违法行为。</w:t>
      </w:r>
    </w:p>
    <w:p>
      <w:pPr>
        <w:keepNext w:val="0"/>
        <w:keepLines w:val="0"/>
        <w:pageBreakBefore w:val="0"/>
        <w:widowControl w:val="0"/>
        <w:numPr>
          <w:ilvl w:val="0"/>
          <w:numId w:val="0"/>
        </w:numPr>
        <w:tabs>
          <w:tab w:val="left" w:pos="46"/>
        </w:tabs>
        <w:kinsoku/>
        <w:wordWrap/>
        <w:overflowPunct w:val="0"/>
        <w:topLinePunct w:val="0"/>
        <w:autoSpaceDE/>
        <w:autoSpaceDN/>
        <w:bidi w:val="0"/>
        <w:adjustRightInd/>
        <w:snapToGrid w:val="0"/>
        <w:spacing w:before="0" w:beforeLines="0" w:after="0" w:afterLines="0" w:line="360" w:lineRule="auto"/>
        <w:ind w:right="0" w:rightChars="0" w:firstLine="640" w:firstLineChars="200"/>
        <w:jc w:val="both"/>
        <w:textAlignment w:val="auto"/>
        <w:outlineLvl w:val="9"/>
        <w:rPr>
          <w:rFonts w:hint="eastAsia"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 w:eastAsia="zh-CN"/>
        </w:rPr>
        <w:t>海印股份涉案期间有关董事、高级管理人员违反了《证券法》第八十二条第三款的规定，构成《证券法》第一百九十七条第一款、第二款所述“直接负责的主管人员和其他直接责任人员”。其中，时任董事长邵某明，时任董事、总裁邵某佳，未勤勉尽责，是对海印股份上述违法行为直接负责的主管人员</w:t>
      </w:r>
      <w:r>
        <w:rPr>
          <w:rFonts w:hint="eastAsia" w:ascii="仿宋_GB2312" w:hAnsi="仿宋_GB2312" w:eastAsia="仿宋_GB2312" w:cs="Times New Roman"/>
          <w:kern w:val="0"/>
          <w:sz w:val="32"/>
          <w:szCs w:val="32"/>
          <w:lang w:val="en-US" w:eastAsia="zh-CN"/>
        </w:rPr>
        <w:t>。时任财务总监温某婷，时任董事、副总裁潘某，时任董事会秘书吴某乐，未勤勉尽责，是海印股份</w:t>
      </w:r>
      <w:r>
        <w:rPr>
          <w:rFonts w:hint="eastAsia" w:ascii="仿宋_GB2312" w:hAnsi="仿宋_GB2312" w:eastAsia="仿宋_GB2312" w:cs="仿宋_GB2312"/>
          <w:kern w:val="0"/>
          <w:sz w:val="32"/>
          <w:szCs w:val="32"/>
          <w:lang w:val="en-US" w:eastAsia="zh-CN" w:bidi="ar-SA"/>
        </w:rPr>
        <w:t>上述违法行为</w:t>
      </w:r>
      <w:r>
        <w:rPr>
          <w:rFonts w:hint="eastAsia" w:ascii="仿宋_GB2312" w:hAnsi="仿宋_GB2312" w:eastAsia="仿宋_GB2312" w:cs="Times New Roman"/>
          <w:kern w:val="0"/>
          <w:sz w:val="32"/>
          <w:szCs w:val="32"/>
          <w:lang w:val="en-US" w:eastAsia="zh-CN"/>
        </w:rPr>
        <w:t>的其他直接责任人员。</w:t>
      </w:r>
    </w:p>
    <w:p>
      <w:pPr>
        <w:keepNext w:val="0"/>
        <w:keepLines w:val="0"/>
        <w:pageBreakBefore w:val="0"/>
        <w:widowControl w:val="0"/>
        <w:numPr>
          <w:ilvl w:val="0"/>
          <w:numId w:val="0"/>
        </w:numPr>
        <w:tabs>
          <w:tab w:val="left" w:pos="46"/>
        </w:tabs>
        <w:kinsoku/>
        <w:wordWrap/>
        <w:overflowPunct w:val="0"/>
        <w:topLinePunct w:val="0"/>
        <w:autoSpaceDE/>
        <w:autoSpaceDN/>
        <w:bidi w:val="0"/>
        <w:adjustRightInd/>
        <w:snapToGrid w:val="0"/>
        <w:spacing w:before="0" w:beforeLines="0" w:after="0" w:afterLines="0" w:line="360" w:lineRule="auto"/>
        <w:ind w:right="0" w:rightChars="0" w:firstLine="640" w:firstLineChars="200"/>
        <w:jc w:val="both"/>
        <w:textAlignment w:val="auto"/>
        <w:outlineLvl w:val="9"/>
        <w:rPr>
          <w:rFonts w:hint="default" w:ascii="仿宋_GB2312" w:hAnsi="仿宋_GB2312" w:eastAsia="仿宋_GB2312" w:cs="Times New Roman"/>
          <w:kern w:val="0"/>
          <w:sz w:val="32"/>
          <w:szCs w:val="32"/>
          <w:lang w:val="en-US" w:eastAsia="zh-CN"/>
        </w:rPr>
      </w:pPr>
      <w:r>
        <w:rPr>
          <w:rFonts w:hint="default" w:ascii="仿宋_GB2312" w:hAnsi="仿宋_GB2312" w:eastAsia="仿宋_GB2312" w:cs="Times New Roman"/>
          <w:kern w:val="0"/>
          <w:sz w:val="32"/>
          <w:szCs w:val="32"/>
          <w:lang w:val="en-US" w:eastAsia="zh-CN"/>
        </w:rPr>
        <w:t>此外，</w:t>
      </w:r>
      <w:r>
        <w:rPr>
          <w:rFonts w:hint="eastAsia" w:ascii="仿宋_GB2312" w:hAnsi="仿宋_GB2312" w:eastAsia="仿宋_GB2312" w:cs="Times New Roman"/>
          <w:kern w:val="0"/>
          <w:sz w:val="32"/>
          <w:szCs w:val="32"/>
          <w:lang w:val="en-US" w:eastAsia="zh-CN"/>
        </w:rPr>
        <w:t>邵某明作为海印股份</w:t>
      </w:r>
      <w:r>
        <w:rPr>
          <w:rFonts w:hint="default" w:ascii="仿宋_GB2312" w:hAnsi="仿宋_GB2312" w:eastAsia="仿宋_GB2312" w:cs="Times New Roman"/>
          <w:kern w:val="0"/>
          <w:sz w:val="32"/>
          <w:szCs w:val="32"/>
          <w:lang w:val="en-US" w:eastAsia="zh-CN"/>
        </w:rPr>
        <w:t>实际控制人，组织、指使上述资金</w:t>
      </w:r>
      <w:r>
        <w:rPr>
          <w:rFonts w:hint="eastAsia" w:ascii="仿宋_GB2312" w:hAnsi="仿宋_GB2312" w:eastAsia="仿宋_GB2312" w:cs="Times New Roman"/>
          <w:kern w:val="0"/>
          <w:sz w:val="32"/>
          <w:szCs w:val="32"/>
          <w:lang w:val="en-US" w:eastAsia="zh-CN"/>
        </w:rPr>
        <w:t>往来</w:t>
      </w:r>
      <w:r>
        <w:rPr>
          <w:rFonts w:hint="default" w:ascii="仿宋_GB2312" w:hAnsi="仿宋_GB2312" w:eastAsia="仿宋_GB2312" w:cs="Times New Roman"/>
          <w:kern w:val="0"/>
          <w:sz w:val="32"/>
          <w:szCs w:val="32"/>
          <w:lang w:val="en-US" w:eastAsia="zh-CN"/>
        </w:rPr>
        <w:t>行为，</w:t>
      </w:r>
      <w:r>
        <w:rPr>
          <w:rFonts w:hint="eastAsia" w:ascii="仿宋_GB2312" w:hAnsi="仿宋_GB2312" w:eastAsia="仿宋_GB2312" w:cs="Times New Roman"/>
          <w:kern w:val="0"/>
          <w:sz w:val="32"/>
          <w:szCs w:val="32"/>
          <w:lang w:val="en-US" w:eastAsia="zh-CN"/>
        </w:rPr>
        <w:t>导致海印股份未按规定及时披露上述关联方非经营性资金往来，2021年、2022年年度报告存在重大遗漏</w:t>
      </w:r>
      <w:r>
        <w:rPr>
          <w:rFonts w:hint="default" w:ascii="仿宋_GB2312" w:hAnsi="仿宋_GB2312" w:eastAsia="仿宋_GB2312" w:cs="Times New Roman"/>
          <w:kern w:val="0"/>
          <w:sz w:val="32"/>
          <w:szCs w:val="32"/>
          <w:lang w:val="en-US" w:eastAsia="zh-CN"/>
        </w:rPr>
        <w:t>，构成《证券法》第一百九十七条</w:t>
      </w:r>
      <w:r>
        <w:rPr>
          <w:rFonts w:hint="eastAsia" w:ascii="仿宋_GB2312" w:hAnsi="仿宋_GB2312" w:eastAsia="仿宋_GB2312" w:cs="Times New Roman"/>
          <w:kern w:val="0"/>
          <w:sz w:val="32"/>
          <w:szCs w:val="32"/>
          <w:lang w:val="en-US" w:eastAsia="zh-CN"/>
        </w:rPr>
        <w:t>第一款、</w:t>
      </w:r>
      <w:r>
        <w:rPr>
          <w:rFonts w:hint="default" w:ascii="仿宋_GB2312" w:hAnsi="仿宋_GB2312" w:eastAsia="仿宋_GB2312" w:cs="Times New Roman"/>
          <w:kern w:val="0"/>
          <w:sz w:val="32"/>
          <w:szCs w:val="32"/>
          <w:lang w:val="en-US" w:eastAsia="zh-CN"/>
        </w:rPr>
        <w:t>第二款所述</w:t>
      </w:r>
      <w:r>
        <w:rPr>
          <w:rFonts w:hint="eastAsia" w:ascii="仿宋_GB2312" w:hAnsi="仿宋_GB2312" w:eastAsia="仿宋_GB2312" w:cs="Times New Roman"/>
          <w:kern w:val="0"/>
          <w:sz w:val="32"/>
          <w:szCs w:val="32"/>
          <w:lang w:val="en-US" w:eastAsia="zh-CN"/>
        </w:rPr>
        <w:t>违法行为</w:t>
      </w:r>
      <w:r>
        <w:rPr>
          <w:rFonts w:hint="default" w:ascii="仿宋_GB2312" w:hAnsi="仿宋_GB2312" w:eastAsia="仿宋_GB2312" w:cs="Times New Roman"/>
          <w:kern w:val="0"/>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val="0"/>
        <w:spacing w:beforeLines="0" w:afterLines="0" w:line="360" w:lineRule="auto"/>
        <w:ind w:firstLine="640" w:firstLineChars="200"/>
        <w:textAlignment w:val="auto"/>
        <w:rPr>
          <w:rFonts w:hint="eastAsia" w:ascii="仿宋_GB2312" w:hAnsi="仿宋_GB2312" w:eastAsia="仿宋_GB2312" w:cs="Times New Roman"/>
          <w:spacing w:val="0"/>
          <w:kern w:val="0"/>
          <w:sz w:val="32"/>
          <w:szCs w:val="32"/>
          <w:lang w:val="en-US" w:eastAsia="zh-CN"/>
        </w:rPr>
      </w:pPr>
      <w:r>
        <w:rPr>
          <w:rFonts w:hint="eastAsia" w:ascii="仿宋_GB2312" w:hAnsi="仿宋_GB2312" w:eastAsia="仿宋_GB2312" w:cs="Times New Roman"/>
          <w:spacing w:val="0"/>
          <w:kern w:val="0"/>
          <w:sz w:val="32"/>
          <w:szCs w:val="32"/>
          <w:lang w:val="en-US" w:eastAsia="zh-CN"/>
        </w:rPr>
        <w:t>根据当事人违法行为的事实、性质、情节与社会危害程度，</w:t>
      </w:r>
      <w:r>
        <w:rPr>
          <w:rFonts w:hint="default" w:ascii="仿宋_GB2312" w:hAnsi="仿宋_GB2312" w:eastAsia="仿宋_GB2312" w:cs="Times New Roman"/>
          <w:spacing w:val="0"/>
          <w:kern w:val="0"/>
          <w:sz w:val="32"/>
          <w:szCs w:val="32"/>
          <w:lang w:val="en-US" w:eastAsia="zh-CN"/>
        </w:rPr>
        <w:t>依据《证券法》第一百九十七条</w:t>
      </w:r>
      <w:r>
        <w:rPr>
          <w:rFonts w:hint="eastAsia" w:ascii="仿宋_GB2312" w:hAnsi="仿宋_GB2312" w:eastAsia="仿宋_GB2312" w:cs="Times New Roman"/>
          <w:spacing w:val="0"/>
          <w:kern w:val="0"/>
          <w:sz w:val="32"/>
          <w:szCs w:val="32"/>
          <w:lang w:val="en-US" w:eastAsia="zh-CN"/>
        </w:rPr>
        <w:t>第二款</w:t>
      </w:r>
      <w:r>
        <w:rPr>
          <w:rFonts w:hint="default" w:ascii="仿宋_GB2312" w:hAnsi="仿宋_GB2312" w:eastAsia="仿宋_GB2312" w:cs="Times New Roman"/>
          <w:spacing w:val="0"/>
          <w:kern w:val="0"/>
          <w:sz w:val="32"/>
          <w:szCs w:val="32"/>
          <w:lang w:val="en-US" w:eastAsia="zh-CN"/>
        </w:rPr>
        <w:t>的规定，</w:t>
      </w:r>
      <w:r>
        <w:rPr>
          <w:rFonts w:hint="eastAsia" w:ascii="仿宋_GB2312" w:hAnsi="仿宋_GB2312" w:eastAsia="仿宋_GB2312" w:cs="Times New Roman"/>
          <w:spacing w:val="0"/>
          <w:kern w:val="0"/>
          <w:sz w:val="32"/>
          <w:szCs w:val="32"/>
          <w:lang w:val="en-US" w:eastAsia="zh-CN"/>
        </w:rPr>
        <w:t>我局决定：</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line="360" w:lineRule="auto"/>
        <w:ind w:firstLine="640" w:firstLineChars="200"/>
        <w:jc w:val="both"/>
        <w:textAlignment w:val="auto"/>
        <w:rPr>
          <w:rFonts w:hint="eastAsia" w:ascii="仿宋_GB2312" w:hAnsi="仿宋_GB2312" w:eastAsia="仿宋_GB2312"/>
          <w:spacing w:val="0"/>
          <w:kern w:val="0"/>
          <w:sz w:val="32"/>
          <w:szCs w:val="32"/>
          <w:lang w:val="en-US" w:eastAsia="zh-CN"/>
        </w:rPr>
      </w:pPr>
      <w:r>
        <w:rPr>
          <w:rFonts w:hint="eastAsia" w:ascii="仿宋_GB2312" w:hAnsi="仿宋_GB2312" w:eastAsia="仿宋_GB2312"/>
          <w:spacing w:val="0"/>
          <w:kern w:val="0"/>
          <w:sz w:val="32"/>
          <w:szCs w:val="32"/>
          <w:lang w:val="en-US" w:eastAsia="zh-CN"/>
        </w:rPr>
        <w:t>一、对</w:t>
      </w:r>
      <w:r>
        <w:rPr>
          <w:rFonts w:hint="eastAsia" w:ascii="仿宋_GB2312" w:hAnsi="仿宋_GB2312" w:eastAsia="仿宋_GB2312" w:cs="仿宋_GB2312"/>
          <w:kern w:val="0"/>
          <w:sz w:val="32"/>
          <w:szCs w:val="32"/>
          <w:highlight w:val="none"/>
          <w:lang w:eastAsia="zh-CN"/>
        </w:rPr>
        <w:t>广东海印集团股份有限公司</w:t>
      </w:r>
      <w:r>
        <w:rPr>
          <w:rFonts w:hint="eastAsia" w:ascii="仿宋_GB2312" w:hAnsi="仿宋_GB2312" w:eastAsia="仿宋_GB2312"/>
          <w:spacing w:val="0"/>
          <w:kern w:val="0"/>
          <w:sz w:val="32"/>
          <w:szCs w:val="32"/>
          <w:lang w:val="en-US" w:eastAsia="zh-CN"/>
        </w:rPr>
        <w:t>责令改正，给予警告，并处以400万元罚款；</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line="360" w:lineRule="auto"/>
        <w:ind w:firstLine="640" w:firstLineChars="200"/>
        <w:jc w:val="both"/>
        <w:textAlignment w:val="auto"/>
        <w:rPr>
          <w:rFonts w:hint="eastAsia" w:ascii="仿宋_GB2312" w:hAnsi="仿宋_GB2312" w:eastAsia="仿宋_GB2312"/>
          <w:spacing w:val="0"/>
          <w:kern w:val="0"/>
          <w:sz w:val="32"/>
          <w:szCs w:val="32"/>
          <w:lang w:val="en-US" w:eastAsia="zh-CN"/>
        </w:rPr>
      </w:pPr>
      <w:r>
        <w:rPr>
          <w:rFonts w:hint="eastAsia" w:ascii="仿宋_GB2312" w:hAnsi="仿宋_GB2312" w:eastAsia="仿宋_GB2312"/>
          <w:spacing w:val="0"/>
          <w:kern w:val="0"/>
          <w:sz w:val="32"/>
          <w:szCs w:val="32"/>
          <w:lang w:val="en-US" w:eastAsia="zh-CN"/>
        </w:rPr>
        <w:t>二、</w:t>
      </w:r>
      <w:r>
        <w:rPr>
          <w:rFonts w:hint="default" w:ascii="仿宋_GB2312" w:hAnsi="仿宋_GB2312" w:eastAsia="仿宋_GB2312" w:cs="仿宋_GB2312"/>
          <w:b w:val="0"/>
          <w:bCs w:val="0"/>
          <w:kern w:val="2"/>
          <w:sz w:val="32"/>
          <w:szCs w:val="32"/>
          <w:lang w:val="en" w:eastAsia="zh-CN" w:bidi="ar-SA"/>
        </w:rPr>
        <w:t>对</w:t>
      </w:r>
      <w:r>
        <w:rPr>
          <w:rFonts w:hint="eastAsia" w:ascii="仿宋_GB2312" w:hAnsi="仿宋_GB2312" w:eastAsia="仿宋_GB2312" w:cs="仿宋_GB2312"/>
          <w:b w:val="0"/>
          <w:bCs w:val="0"/>
          <w:kern w:val="2"/>
          <w:sz w:val="32"/>
          <w:szCs w:val="32"/>
          <w:lang w:val="en" w:eastAsia="zh-CN" w:bidi="ar-SA"/>
        </w:rPr>
        <w:t>邵某明</w:t>
      </w:r>
      <w:r>
        <w:rPr>
          <w:rFonts w:hint="default" w:ascii="仿宋_GB2312" w:hAnsi="仿宋_GB2312" w:eastAsia="仿宋_GB2312" w:cs="仿宋_GB2312"/>
          <w:b w:val="0"/>
          <w:bCs w:val="0"/>
          <w:kern w:val="2"/>
          <w:sz w:val="32"/>
          <w:szCs w:val="32"/>
          <w:lang w:val="en" w:eastAsia="zh-CN" w:bidi="ar-SA"/>
        </w:rPr>
        <w:t>给予警告，并</w:t>
      </w:r>
      <w:r>
        <w:rPr>
          <w:rFonts w:hint="eastAsia" w:ascii="仿宋_GB2312" w:hAnsi="仿宋_GB2312" w:eastAsia="仿宋_GB2312" w:cs="仿宋_GB2312"/>
          <w:b w:val="0"/>
          <w:bCs w:val="0"/>
          <w:kern w:val="2"/>
          <w:sz w:val="32"/>
          <w:szCs w:val="32"/>
          <w:lang w:val="en" w:eastAsia="zh-CN" w:bidi="ar-SA"/>
        </w:rPr>
        <w:t>处以</w:t>
      </w:r>
      <w:r>
        <w:rPr>
          <w:rFonts w:hint="eastAsia" w:ascii="仿宋_GB2312" w:hAnsi="仿宋_GB2312" w:eastAsia="仿宋_GB2312" w:cs="仿宋_GB2312"/>
          <w:b w:val="0"/>
          <w:bCs w:val="0"/>
          <w:kern w:val="2"/>
          <w:sz w:val="32"/>
          <w:szCs w:val="32"/>
          <w:lang w:val="en-US" w:eastAsia="zh-CN" w:bidi="ar-SA"/>
        </w:rPr>
        <w:t>600</w:t>
      </w:r>
      <w:r>
        <w:rPr>
          <w:rFonts w:hint="default" w:ascii="仿宋_GB2312" w:hAnsi="仿宋_GB2312" w:eastAsia="仿宋_GB2312" w:cs="仿宋_GB2312"/>
          <w:b w:val="0"/>
          <w:bCs w:val="0"/>
          <w:kern w:val="2"/>
          <w:sz w:val="32"/>
          <w:szCs w:val="32"/>
          <w:lang w:val="en" w:eastAsia="zh-CN" w:bidi="ar-SA"/>
        </w:rPr>
        <w:t>万元罚款，其中作为直接负责的主管人员处以</w:t>
      </w:r>
      <w:r>
        <w:rPr>
          <w:rFonts w:hint="eastAsia" w:ascii="仿宋_GB2312" w:hAnsi="仿宋_GB2312" w:eastAsia="仿宋_GB2312" w:cs="仿宋_GB2312"/>
          <w:b w:val="0"/>
          <w:bCs w:val="0"/>
          <w:kern w:val="2"/>
          <w:sz w:val="32"/>
          <w:szCs w:val="32"/>
          <w:lang w:val="en-US" w:eastAsia="zh-CN" w:bidi="ar-SA"/>
        </w:rPr>
        <w:t>200</w:t>
      </w:r>
      <w:r>
        <w:rPr>
          <w:rFonts w:hint="default" w:ascii="仿宋_GB2312" w:hAnsi="仿宋_GB2312" w:eastAsia="仿宋_GB2312" w:cs="仿宋_GB2312"/>
          <w:b w:val="0"/>
          <w:bCs w:val="0"/>
          <w:kern w:val="2"/>
          <w:sz w:val="32"/>
          <w:szCs w:val="32"/>
          <w:lang w:val="en" w:eastAsia="zh-CN" w:bidi="ar-SA"/>
        </w:rPr>
        <w:t>万元罚款，作为实际控制人处以</w:t>
      </w:r>
      <w:r>
        <w:rPr>
          <w:rFonts w:hint="eastAsia" w:ascii="仿宋_GB2312" w:hAnsi="仿宋_GB2312" w:eastAsia="仿宋_GB2312" w:cs="仿宋_GB2312"/>
          <w:b w:val="0"/>
          <w:bCs w:val="0"/>
          <w:kern w:val="2"/>
          <w:sz w:val="32"/>
          <w:szCs w:val="32"/>
          <w:lang w:val="en-US" w:eastAsia="zh-CN" w:bidi="ar-SA"/>
        </w:rPr>
        <w:t>400</w:t>
      </w:r>
      <w:r>
        <w:rPr>
          <w:rFonts w:hint="default" w:ascii="仿宋_GB2312" w:hAnsi="仿宋_GB2312" w:eastAsia="仿宋_GB2312" w:cs="仿宋_GB2312"/>
          <w:b w:val="0"/>
          <w:bCs w:val="0"/>
          <w:kern w:val="2"/>
          <w:sz w:val="32"/>
          <w:szCs w:val="32"/>
          <w:lang w:val="en" w:eastAsia="zh-CN" w:bidi="ar-SA"/>
        </w:rPr>
        <w:t>万元罚款；</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Lines="0" w:afterLines="0" w:line="360" w:lineRule="auto"/>
        <w:ind w:firstLine="640" w:firstLineChars="200"/>
        <w:jc w:val="both"/>
        <w:textAlignment w:val="auto"/>
        <w:rPr>
          <w:rFonts w:hint="eastAsia" w:ascii="仿宋_GB2312" w:hAnsi="仿宋_GB2312" w:eastAsia="仿宋_GB2312"/>
          <w:spacing w:val="0"/>
          <w:kern w:val="0"/>
          <w:sz w:val="32"/>
          <w:szCs w:val="32"/>
          <w:lang w:val="en-US" w:eastAsia="zh-CN"/>
        </w:rPr>
      </w:pPr>
      <w:r>
        <w:rPr>
          <w:rFonts w:hint="eastAsia" w:ascii="仿宋_GB2312" w:hAnsi="仿宋_GB2312" w:eastAsia="仿宋_GB2312"/>
          <w:spacing w:val="0"/>
          <w:kern w:val="0"/>
          <w:sz w:val="32"/>
          <w:szCs w:val="32"/>
          <w:lang w:val="en-US" w:eastAsia="zh-CN"/>
        </w:rPr>
        <w:t>三、</w:t>
      </w:r>
      <w:r>
        <w:rPr>
          <w:rFonts w:hint="default" w:ascii="仿宋_GB2312" w:hAnsi="仿宋_GB2312" w:eastAsia="仿宋_GB2312" w:cs="仿宋_GB2312"/>
          <w:b w:val="0"/>
          <w:bCs w:val="0"/>
          <w:kern w:val="2"/>
          <w:sz w:val="32"/>
          <w:szCs w:val="32"/>
          <w:lang w:val="en" w:eastAsia="zh-CN" w:bidi="ar-SA"/>
        </w:rPr>
        <w:t>对</w:t>
      </w:r>
      <w:r>
        <w:rPr>
          <w:rFonts w:hint="eastAsia" w:ascii="仿宋_GB2312" w:hAnsi="仿宋_GB2312" w:eastAsia="仿宋_GB2312" w:cs="仿宋_GB2312"/>
          <w:b w:val="0"/>
          <w:bCs w:val="0"/>
          <w:kern w:val="2"/>
          <w:sz w:val="32"/>
          <w:szCs w:val="32"/>
          <w:lang w:val="en" w:eastAsia="zh-CN" w:bidi="ar-SA"/>
        </w:rPr>
        <w:t>邵某佳</w:t>
      </w:r>
      <w:r>
        <w:rPr>
          <w:rFonts w:hint="default" w:ascii="仿宋_GB2312" w:hAnsi="仿宋_GB2312" w:eastAsia="仿宋_GB2312" w:cs="仿宋_GB2312"/>
          <w:b w:val="0"/>
          <w:bCs w:val="0"/>
          <w:kern w:val="2"/>
          <w:sz w:val="32"/>
          <w:szCs w:val="32"/>
          <w:lang w:val="en" w:eastAsia="zh-CN" w:bidi="ar-SA"/>
        </w:rPr>
        <w:t>给予警告，并</w:t>
      </w:r>
      <w:r>
        <w:rPr>
          <w:rFonts w:hint="eastAsia" w:ascii="仿宋_GB2312" w:hAnsi="仿宋_GB2312" w:eastAsia="仿宋_GB2312" w:cs="仿宋_GB2312"/>
          <w:b w:val="0"/>
          <w:bCs w:val="0"/>
          <w:kern w:val="2"/>
          <w:sz w:val="32"/>
          <w:szCs w:val="32"/>
          <w:lang w:val="en" w:eastAsia="zh-CN" w:bidi="ar-SA"/>
        </w:rPr>
        <w:t>处以</w:t>
      </w:r>
      <w:r>
        <w:rPr>
          <w:rFonts w:hint="eastAsia" w:ascii="仿宋_GB2312" w:hAnsi="仿宋_GB2312" w:eastAsia="仿宋_GB2312" w:cs="仿宋_GB2312"/>
          <w:b w:val="0"/>
          <w:bCs w:val="0"/>
          <w:kern w:val="2"/>
          <w:sz w:val="32"/>
          <w:szCs w:val="32"/>
          <w:lang w:val="en-US" w:eastAsia="zh-CN" w:bidi="ar-SA"/>
        </w:rPr>
        <w:t>150</w:t>
      </w:r>
      <w:r>
        <w:rPr>
          <w:rFonts w:hint="default" w:ascii="仿宋_GB2312" w:hAnsi="仿宋_GB2312" w:eastAsia="仿宋_GB2312" w:cs="仿宋_GB2312"/>
          <w:b w:val="0"/>
          <w:bCs w:val="0"/>
          <w:kern w:val="2"/>
          <w:sz w:val="32"/>
          <w:szCs w:val="32"/>
          <w:lang w:val="en" w:eastAsia="zh-CN" w:bidi="ar-SA"/>
        </w:rPr>
        <w:t>万元罚款；</w:t>
      </w:r>
    </w:p>
    <w:p>
      <w:pPr>
        <w:keepNext w:val="0"/>
        <w:keepLines w:val="0"/>
        <w:pageBreakBefore w:val="0"/>
        <w:widowControl w:val="0"/>
        <w:kinsoku/>
        <w:wordWrap/>
        <w:overflowPunct w:val="0"/>
        <w:topLinePunct w:val="0"/>
        <w:autoSpaceDE/>
        <w:autoSpaceDN/>
        <w:bidi w:val="0"/>
        <w:adjustRightInd w:val="0"/>
        <w:snapToGrid w:val="0"/>
        <w:spacing w:beforeLines="0" w:afterLines="0" w:line="360" w:lineRule="auto"/>
        <w:ind w:firstLine="640" w:firstLineChars="200"/>
        <w:outlineLvl w:val="1"/>
        <w:rPr>
          <w:rFonts w:hint="default" w:ascii="仿宋_GB2312" w:hAnsi="仿宋_GB2312" w:eastAsia="仿宋_GB2312" w:cs="仿宋_GB2312"/>
          <w:b w:val="0"/>
          <w:bCs w:val="0"/>
          <w:kern w:val="2"/>
          <w:sz w:val="32"/>
          <w:szCs w:val="32"/>
          <w:lang w:val="en" w:eastAsia="zh-CN" w:bidi="ar-SA"/>
        </w:rPr>
      </w:pPr>
      <w:r>
        <w:rPr>
          <w:rFonts w:hint="eastAsia" w:ascii="仿宋_GB2312" w:hAnsi="仿宋_GB2312" w:eastAsia="仿宋_GB2312"/>
          <w:spacing w:val="0"/>
          <w:kern w:val="0"/>
          <w:sz w:val="32"/>
          <w:szCs w:val="32"/>
          <w:lang w:val="en-US" w:eastAsia="zh-CN"/>
        </w:rPr>
        <w:t>四、</w:t>
      </w:r>
      <w:r>
        <w:rPr>
          <w:rFonts w:hint="default" w:ascii="仿宋_GB2312" w:hAnsi="仿宋_GB2312" w:eastAsia="仿宋_GB2312" w:cs="仿宋_GB2312"/>
          <w:b w:val="0"/>
          <w:bCs w:val="0"/>
          <w:kern w:val="2"/>
          <w:sz w:val="32"/>
          <w:szCs w:val="32"/>
          <w:lang w:val="en" w:eastAsia="zh-CN" w:bidi="ar-SA"/>
        </w:rPr>
        <w:t>对</w:t>
      </w:r>
      <w:r>
        <w:rPr>
          <w:rFonts w:hint="eastAsia" w:ascii="仿宋_GB2312" w:hAnsi="仿宋_GB2312" w:eastAsia="仿宋_GB2312" w:cs="仿宋_GB2312"/>
          <w:b w:val="0"/>
          <w:bCs w:val="0"/>
          <w:kern w:val="2"/>
          <w:sz w:val="32"/>
          <w:szCs w:val="32"/>
          <w:lang w:val="en" w:eastAsia="zh-CN" w:bidi="ar-SA"/>
        </w:rPr>
        <w:t>温某婷</w:t>
      </w:r>
      <w:r>
        <w:rPr>
          <w:rFonts w:hint="default" w:ascii="仿宋_GB2312" w:hAnsi="仿宋_GB2312" w:eastAsia="仿宋_GB2312" w:cs="仿宋_GB2312"/>
          <w:b w:val="0"/>
          <w:bCs w:val="0"/>
          <w:kern w:val="2"/>
          <w:sz w:val="32"/>
          <w:szCs w:val="32"/>
          <w:lang w:val="en" w:eastAsia="zh-CN" w:bidi="ar-SA"/>
        </w:rPr>
        <w:t>、</w:t>
      </w:r>
      <w:r>
        <w:rPr>
          <w:rFonts w:hint="eastAsia" w:ascii="仿宋_GB2312" w:hAnsi="仿宋_GB2312" w:eastAsia="仿宋_GB2312" w:cs="仿宋_GB2312"/>
          <w:b w:val="0"/>
          <w:bCs w:val="0"/>
          <w:kern w:val="2"/>
          <w:sz w:val="32"/>
          <w:szCs w:val="32"/>
          <w:lang w:val="en" w:eastAsia="zh-CN" w:bidi="ar-SA"/>
        </w:rPr>
        <w:t>潘某</w:t>
      </w:r>
      <w:r>
        <w:rPr>
          <w:rFonts w:hint="default" w:ascii="仿宋_GB2312" w:hAnsi="仿宋_GB2312" w:eastAsia="仿宋_GB2312" w:cs="仿宋_GB2312"/>
          <w:b w:val="0"/>
          <w:bCs w:val="0"/>
          <w:kern w:val="2"/>
          <w:sz w:val="32"/>
          <w:szCs w:val="32"/>
          <w:lang w:val="en" w:eastAsia="zh-CN" w:bidi="ar-SA"/>
        </w:rPr>
        <w:t>、</w:t>
      </w:r>
      <w:r>
        <w:rPr>
          <w:rFonts w:hint="eastAsia" w:ascii="仿宋_GB2312" w:hAnsi="仿宋_GB2312" w:eastAsia="仿宋_GB2312" w:cs="仿宋_GB2312"/>
          <w:b w:val="0"/>
          <w:bCs w:val="0"/>
          <w:kern w:val="2"/>
          <w:sz w:val="32"/>
          <w:szCs w:val="32"/>
          <w:lang w:val="en" w:eastAsia="zh-CN" w:bidi="ar-SA"/>
        </w:rPr>
        <w:t>吴某乐</w:t>
      </w:r>
      <w:r>
        <w:rPr>
          <w:rFonts w:hint="default" w:ascii="仿宋_GB2312" w:hAnsi="仿宋_GB2312" w:eastAsia="仿宋_GB2312" w:cs="仿宋_GB2312"/>
          <w:b w:val="0"/>
          <w:bCs w:val="0"/>
          <w:kern w:val="2"/>
          <w:sz w:val="32"/>
          <w:szCs w:val="32"/>
          <w:lang w:val="en" w:eastAsia="zh-CN" w:bidi="ar-SA"/>
        </w:rPr>
        <w:t>给予警告，并</w:t>
      </w:r>
      <w:r>
        <w:rPr>
          <w:rFonts w:hint="eastAsia" w:ascii="仿宋_GB2312" w:hAnsi="仿宋_GB2312" w:eastAsia="仿宋_GB2312" w:cs="仿宋_GB2312"/>
          <w:b w:val="0"/>
          <w:bCs w:val="0"/>
          <w:kern w:val="2"/>
          <w:sz w:val="32"/>
          <w:szCs w:val="32"/>
          <w:lang w:val="en" w:eastAsia="zh-CN" w:bidi="ar-SA"/>
        </w:rPr>
        <w:t>分别处以</w:t>
      </w:r>
      <w:r>
        <w:rPr>
          <w:rFonts w:hint="default" w:ascii="仿宋_GB2312" w:hAnsi="仿宋_GB2312" w:eastAsia="仿宋_GB2312" w:cs="仿宋_GB2312"/>
          <w:b w:val="0"/>
          <w:bCs w:val="0"/>
          <w:kern w:val="2"/>
          <w:sz w:val="32"/>
          <w:szCs w:val="32"/>
          <w:lang w:val="en" w:eastAsia="zh-CN" w:bidi="ar-SA"/>
        </w:rPr>
        <w:t>50万元罚款</w:t>
      </w:r>
      <w:r>
        <w:rPr>
          <w:rFonts w:hint="eastAsia" w:ascii="仿宋_GB2312" w:hAnsi="仿宋_GB2312" w:eastAsia="仿宋_GB2312" w:cs="仿宋_GB2312"/>
          <w:b w:val="0"/>
          <w:bCs w:val="0"/>
          <w:kern w:val="2"/>
          <w:sz w:val="32"/>
          <w:szCs w:val="32"/>
          <w:lang w:val="en" w:eastAsia="zh-CN" w:bidi="ar-SA"/>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360" w:lineRule="auto"/>
        <w:ind w:firstLine="640" w:firstLineChars="200"/>
        <w:textAlignment w:val="auto"/>
        <w:outlineLvl w:val="9"/>
        <w:rPr>
          <w:color w:val="auto"/>
        </w:rPr>
      </w:pPr>
      <w:r>
        <w:rPr>
          <w:rFonts w:hint="eastAsia" w:ascii="仿宋_GB2312" w:hAnsi="仿宋_GB2312" w:eastAsia="仿宋_GB2312" w:cs="仿宋_GB2312"/>
          <w:b w:val="0"/>
          <w:bCs w:val="0"/>
          <w:color w:val="auto"/>
          <w:sz w:val="32"/>
          <w:szCs w:val="32"/>
          <w:lang w:bidi="ar-SA"/>
        </w:rPr>
        <w:t>上述当事人应自收到本处罚决定书之日起15日内，将罚款直接汇交国库。具体缴款方式见本处罚决定书所附说明。同时，须将注有当事人名称的付款凭证复印件送</w:t>
      </w:r>
      <w:r>
        <w:rPr>
          <w:rFonts w:hint="eastAsia" w:ascii="仿宋_GB2312" w:hAnsi="仿宋_GB2312" w:eastAsia="仿宋_GB2312" w:cs="仿宋_GB2312"/>
          <w:b w:val="0"/>
          <w:bCs w:val="0"/>
          <w:color w:val="auto"/>
          <w:sz w:val="32"/>
          <w:szCs w:val="32"/>
          <w:lang w:eastAsia="zh-CN" w:bidi="ar-SA"/>
        </w:rPr>
        <w:t>我局</w:t>
      </w:r>
      <w:r>
        <w:rPr>
          <w:rFonts w:hint="eastAsia" w:ascii="仿宋_GB2312" w:hAnsi="仿宋_GB2312" w:eastAsia="仿宋_GB2312" w:cs="仿宋_GB2312"/>
          <w:b w:val="0"/>
          <w:bCs w:val="0"/>
          <w:color w:val="auto"/>
          <w:sz w:val="32"/>
          <w:szCs w:val="32"/>
          <w:lang w:bidi="ar-SA"/>
        </w:rPr>
        <w:t>备案。</w:t>
      </w:r>
      <w:r>
        <w:rPr>
          <w:rFonts w:hint="eastAsia" w:ascii="仿宋_GB2312" w:hAnsi="仿宋_GB2312" w:eastAsia="仿宋_GB2312" w:cs="仿宋_GB2312"/>
          <w:color w:val="auto"/>
          <w:kern w:val="0"/>
          <w:sz w:val="32"/>
          <w:szCs w:val="32"/>
          <w:lang w:val="en-US" w:eastAsia="zh-CN" w:bidi="ar-SA"/>
        </w:rPr>
        <w:t>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pStyle w:val="10"/>
        <w:widowControl w:val="0"/>
        <w:overflowPunct w:val="0"/>
        <w:snapToGrid w:val="0"/>
        <w:spacing w:line="360" w:lineRule="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8"/>
          <w:szCs w:val="28"/>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8"/>
          <w:szCs w:val="28"/>
        </w:rPr>
      </w:pPr>
    </w:p>
    <w:p>
      <w:pPr>
        <w:overflowPunct w:val="0"/>
        <w:adjustRightInd w:val="0"/>
        <w:snapToGrid w:val="0"/>
        <w:spacing w:line="360" w:lineRule="auto"/>
        <w:ind w:right="1705"/>
        <w:jc w:val="right"/>
        <w:rPr>
          <w:rFonts w:hint="eastAsia" w:ascii="仿宋_GB2312" w:hAnsi="Times New Roman" w:eastAsia="仿宋_GB2312" w:cs="Times New Roman"/>
          <w:color w:val="000000"/>
          <w:sz w:val="32"/>
        </w:rPr>
      </w:pPr>
      <w:r>
        <w:rPr>
          <w:rFonts w:hint="eastAsia" w:ascii="仿宋_GB2312" w:hAnsi="Times New Roman" w:eastAsia="仿宋_GB2312" w:cs="Times New Roman"/>
          <w:color w:val="000000"/>
          <w:sz w:val="32"/>
        </w:rPr>
        <w:t>广东证监局</w:t>
      </w:r>
    </w:p>
    <w:p>
      <w:pPr>
        <w:numPr>
          <w:ilvl w:val="0"/>
          <w:numId w:val="0"/>
        </w:numPr>
        <w:pBdr>
          <w:top w:val="none" w:color="auto" w:sz="0" w:space="0"/>
          <w:bottom w:val="none" w:color="auto" w:sz="0" w:space="0"/>
        </w:pBdr>
        <w:overflowPunct w:val="0"/>
        <w:adjustRightInd w:val="0"/>
        <w:snapToGrid w:val="0"/>
        <w:spacing w:beforeLines="0" w:afterLines="0" w:line="360" w:lineRule="auto"/>
        <w:jc w:val="center"/>
        <w:outlineLvl w:val="9"/>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w:t>
      </w:r>
      <w:r>
        <w:rPr>
          <w:rFonts w:hint="default" w:ascii="仿宋_GB2312" w:hAnsi="Times New Roman" w:eastAsia="仿宋_GB2312" w:cs="Times New Roman"/>
          <w:color w:val="000000"/>
          <w:spacing w:val="10"/>
          <w:sz w:val="32"/>
          <w:szCs w:val="32"/>
          <w:lang w:val="en-US" w:eastAsia="zh-CN"/>
        </w:rPr>
        <w:t>5</w:t>
      </w:r>
      <w:r>
        <w:rPr>
          <w:rFonts w:hint="eastAsia" w:ascii="仿宋_GB2312" w:hAnsi="Times New Roman" w:eastAsia="仿宋_GB2312" w:cs="Times New Roman"/>
          <w:color w:val="000000"/>
          <w:spacing w:val="10"/>
          <w:sz w:val="32"/>
          <w:szCs w:val="32"/>
        </w:rPr>
        <w:t>年</w:t>
      </w:r>
      <w:r>
        <w:rPr>
          <w:rFonts w:hint="default" w:ascii="仿宋_GB2312" w:eastAsia="仿宋_GB2312" w:cs="Times New Roman"/>
          <w:color w:val="000000"/>
          <w:spacing w:val="10"/>
          <w:sz w:val="32"/>
          <w:szCs w:val="32"/>
          <w:lang w:val="en-US" w:eastAsia="zh-CN"/>
        </w:rPr>
        <w:t>7</w:t>
      </w:r>
      <w:r>
        <w:rPr>
          <w:rFonts w:hint="eastAsia" w:ascii="仿宋_GB2312" w:hAnsi="Times New Roman" w:eastAsia="仿宋_GB2312" w:cs="Times New Roman"/>
          <w:color w:val="000000"/>
          <w:spacing w:val="10"/>
          <w:sz w:val="32"/>
          <w:szCs w:val="32"/>
        </w:rPr>
        <w:t>月</w:t>
      </w:r>
      <w:r>
        <w:rPr>
          <w:rFonts w:hint="default" w:ascii="仿宋_GB2312" w:cs="Times New Roman"/>
          <w:color w:val="000000"/>
          <w:spacing w:val="10"/>
          <w:sz w:val="32"/>
          <w:szCs w:val="32"/>
          <w:lang w:val="en-US" w:eastAsia="zh-CN"/>
        </w:rPr>
        <w:t>3</w:t>
      </w:r>
      <w:r>
        <w:rPr>
          <w:rFonts w:hint="eastAsia" w:ascii="仿宋_GB2312" w:hAnsi="Times New Roman" w:eastAsia="仿宋_GB2312" w:cs="Times New Roman"/>
          <w:color w:val="000000"/>
          <w:spacing w:val="10"/>
          <w:sz w:val="32"/>
          <w:szCs w:val="32"/>
        </w:rPr>
        <w:t>日</w:t>
      </w:r>
    </w:p>
    <w:p>
      <w:pPr>
        <w:keepNext w:val="0"/>
        <w:keepLines w:val="0"/>
        <w:pageBreakBefore w:val="0"/>
        <w:kinsoku/>
        <w:overflowPunct/>
        <w:topLinePunct w:val="0"/>
        <w:autoSpaceDE/>
        <w:autoSpaceDN/>
        <w:bidi w:val="0"/>
        <w:adjustRightInd w:val="0"/>
        <w:snapToGrid w:val="0"/>
        <w:spacing w:line="360" w:lineRule="auto"/>
        <w:ind w:right="28"/>
        <w:jc w:val="both"/>
        <w:rPr>
          <w:rFonts w:hint="eastAsia" w:ascii="黑体" w:eastAsia="黑体"/>
          <w:b w:val="0"/>
          <w:bCs w:val="0"/>
          <w:spacing w:val="8"/>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bookmarkEnd w:id="0"/>
    <w:p>
      <w:pPr>
        <w:keepNext w:val="0"/>
        <w:keepLines w:val="0"/>
        <w:pageBreakBefore w:val="0"/>
        <w:widowControl w:val="0"/>
        <w:kinsoku/>
        <w:wordWrap/>
        <w:topLinePunct w:val="0"/>
        <w:autoSpaceDE/>
        <w:autoSpaceDN/>
        <w:bidi w:val="0"/>
        <w:adjustRightInd w:val="0"/>
        <w:snapToGrid w:val="0"/>
        <w:spacing w:beforeLines="0" w:afterLines="0" w:line="240" w:lineRule="auto"/>
        <w:jc w:val="both"/>
        <w:rPr>
          <w:rFonts w:hint="default" w:eastAsia="仿宋_GB2312"/>
          <w:sz w:val="2"/>
          <w:szCs w:val="2"/>
          <w:lang w:val="en-US" w:eastAsia="zh-CN"/>
        </w:rPr>
      </w:pPr>
      <w:bookmarkStart w:id="1" w:name="_GoBack"/>
      <w:bookmarkEnd w:id="1"/>
    </w:p>
    <w:sectPr>
      <w:headerReference r:id="rId3" w:type="default"/>
      <w:footerReference r:id="rId4" w:type="default"/>
      <w:pgSz w:w="11906" w:h="16838"/>
      <w:pgMar w:top="2097" w:right="1474" w:bottom="1984" w:left="1587" w:header="851" w:footer="158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Web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3">
    <w:panose1 w:val="05040102010807070707"/>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dit="readOnly"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FD16C1"/>
    <w:rsid w:val="06F72032"/>
    <w:rsid w:val="35BD9641"/>
    <w:rsid w:val="3BB76BAD"/>
    <w:rsid w:val="3BDF42FB"/>
    <w:rsid w:val="58D7ACB2"/>
    <w:rsid w:val="5EDFE97C"/>
    <w:rsid w:val="62BD387B"/>
    <w:rsid w:val="67CDF9C8"/>
    <w:rsid w:val="6D7C0042"/>
    <w:rsid w:val="77FF704A"/>
    <w:rsid w:val="7BC740CC"/>
    <w:rsid w:val="7FDFB827"/>
    <w:rsid w:val="7FEBD160"/>
    <w:rsid w:val="7FFD1EB0"/>
    <w:rsid w:val="BD77633A"/>
    <w:rsid w:val="CFFC866A"/>
    <w:rsid w:val="D8FD7F93"/>
    <w:rsid w:val="E7FE08E9"/>
    <w:rsid w:val="E937F17F"/>
    <w:rsid w:val="E9FF7D0A"/>
    <w:rsid w:val="EAAD9A59"/>
    <w:rsid w:val="EB32166B"/>
    <w:rsid w:val="EBFD16C1"/>
    <w:rsid w:val="EFDF9306"/>
    <w:rsid w:val="EFFF267F"/>
    <w:rsid w:val="F3F7AA9E"/>
    <w:rsid w:val="FDFB0C6F"/>
    <w:rsid w:val="FDFFB429"/>
    <w:rsid w:val="FE1E69C1"/>
    <w:rsid w:val="FEC67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9"/>
    <w:qFormat/>
    <w:uiPriority w:val="0"/>
    <w:pPr>
      <w:keepNext/>
      <w:keepLines/>
      <w:spacing w:before="340" w:beforeLines="0" w:beforeAutospacing="0" w:after="330" w:afterLines="0" w:afterAutospacing="0" w:line="576" w:lineRule="auto"/>
      <w:jc w:val="center"/>
      <w:outlineLvl w:val="0"/>
    </w:pPr>
    <w:rPr>
      <w:rFonts w:eastAsia="方正小标宋简体" w:asciiTheme="minorAscii" w:hAnsiTheme="minorAscii" w:cstheme="minorBidi"/>
      <w:kern w:val="44"/>
      <w:sz w:val="44"/>
      <w:szCs w:val="22"/>
    </w:rPr>
  </w:style>
  <w:style w:type="character" w:default="1" w:styleId="7">
    <w:name w:val="Default Paragraph Font"/>
    <w:semiHidden/>
    <w:unhideWhenUsed/>
    <w:qFormat/>
    <w:uiPriority w:val="1"/>
    <w:rPr>
      <w:rFonts w:ascii="Times New Roman" w:hAnsi="Times New Roman" w:eastAsia="仿宋_GB2312"/>
      <w:snapToGrid w:val="0"/>
      <w:sz w:val="32"/>
      <w:szCs w:val="32"/>
    </w:rPr>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rmalIndent"/>
    <w:next w:val="1"/>
    <w:qFormat/>
    <w:uiPriority w:val="0"/>
    <w:pPr>
      <w:widowControl w:val="0"/>
      <w:spacing w:line="240" w:lineRule="auto"/>
      <w:ind w:firstLine="420"/>
      <w:jc w:val="both"/>
      <w:textAlignment w:val="baseline"/>
    </w:pPr>
    <w:rPr>
      <w:rFonts w:ascii="Times New Roman" w:hAnsi="Times New Roman" w:eastAsia="宋体" w:cs="Times New Roman"/>
      <w:snapToGrid w:val="0"/>
      <w:kern w:val="0"/>
      <w:sz w:val="32"/>
      <w:szCs w:val="32"/>
      <w:lang w:val="en-US" w:eastAsia="zh-CN" w:bidi="ar-SA"/>
    </w:rPr>
  </w:style>
  <w:style w:type="paragraph" w:styleId="4">
    <w:name w:val="footer"/>
    <w:basedOn w:val="1"/>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character" w:customStyle="1" w:styleId="9">
    <w:name w:val="标题 1 字符"/>
    <w:basedOn w:val="7"/>
    <w:link w:val="3"/>
    <w:qFormat/>
    <w:uiPriority w:val="9"/>
    <w:rPr>
      <w:rFonts w:eastAsia="方正小标宋简体" w:asciiTheme="minorAscii" w:hAnsiTheme="minorAscii" w:cstheme="minorBidi"/>
      <w:bCs/>
      <w:kern w:val="44"/>
      <w:sz w:val="44"/>
      <w:szCs w:val="22"/>
    </w:rPr>
  </w:style>
  <w:style w:type="paragraph" w:customStyle="1" w:styleId="10">
    <w:name w:val="p0"/>
    <w:basedOn w:val="1"/>
    <w:qFormat/>
    <w:uiPriority w:val="0"/>
    <w:pPr>
      <w:widowControl/>
    </w:pPr>
    <w:rPr>
      <w:rFonts w:hint="eastAsia"/>
    </w:rPr>
  </w:style>
  <w:style w:type="paragraph" w:customStyle="1" w:styleId="11">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2025-07-03T08:00:00Z</dcterms:created>
  <dc:creator>柯毅烨</dc:creator>
  <cp:lastModifiedBy>柯毅烨：送诚信档案管理员</cp:lastModifiedBy>
  <dcterms:modified xsi:type="dcterms:W3CDTF">2025-07-07T10:06:58Z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D3C41DEAEFF48E0DCC296B68E2F25CAE</vt:lpwstr>
  </property>
</Properties>
</file>